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07AC" w14:textId="620FFB9E" w:rsidR="00EE02BF" w:rsidRDefault="00EE02BF" w:rsidP="00EE02BF">
      <w:pPr>
        <w:spacing w:before="120" w:after="100" w:afterAutospacing="1" w:line="360" w:lineRule="auto"/>
        <w:jc w:val="center"/>
      </w:pPr>
      <w:r w:rsidRPr="00890A5A">
        <w:rPr>
          <w:rFonts w:eastAsia="Times New Roman"/>
          <w:b/>
        </w:rPr>
        <w:t xml:space="preserve">Обращение к участнику Программы межлабораторных сличений «Вместе» с использованием контрольного материала МИНИпол для иммунологических маркеров HBsAg, анти-ВГС, анти-Tr.Pallidum, </w:t>
      </w:r>
      <w:r w:rsidR="00B83458">
        <w:rPr>
          <w:rFonts w:eastAsia="Times New Roman"/>
          <w:b/>
        </w:rPr>
        <w:t>анти-</w:t>
      </w:r>
      <w:r w:rsidR="00863A5F">
        <w:rPr>
          <w:rFonts w:eastAsia="Times New Roman"/>
          <w:b/>
        </w:rPr>
        <w:t xml:space="preserve">ВИЧ-1, </w:t>
      </w:r>
      <w:r w:rsidRPr="00890A5A">
        <w:rPr>
          <w:rFonts w:eastAsia="Times New Roman"/>
          <w:b/>
        </w:rPr>
        <w:t>метод ИФА</w:t>
      </w:r>
    </w:p>
    <w:p w14:paraId="6D84AA2F" w14:textId="5BE45F25" w:rsidR="00831E86" w:rsidRPr="00F65ECD" w:rsidRDefault="00274187" w:rsidP="007D343B">
      <w:pPr>
        <w:spacing w:before="120" w:after="100" w:afterAutospacing="1" w:line="360" w:lineRule="auto"/>
      </w:pPr>
      <w:r w:rsidRPr="00F65ECD">
        <w:t xml:space="preserve">Программа разработана в АО «Вектор-Бест». </w:t>
      </w:r>
    </w:p>
    <w:p w14:paraId="1581BFF1" w14:textId="77777777" w:rsidR="00831E86" w:rsidRPr="00F65ECD" w:rsidRDefault="00274187" w:rsidP="007D343B">
      <w:pPr>
        <w:pStyle w:val="1"/>
        <w:spacing w:before="360" w:beforeAutospacing="0" w:line="360" w:lineRule="auto"/>
        <w:rPr>
          <w:rFonts w:eastAsia="Times New Roman"/>
        </w:rPr>
      </w:pPr>
      <w:r w:rsidRPr="00F65ECD">
        <w:rPr>
          <w:rFonts w:eastAsia="Times New Roman"/>
          <w:sz w:val="24"/>
          <w:szCs w:val="24"/>
        </w:rPr>
        <w:t>Задачи Программы</w:t>
      </w:r>
    </w:p>
    <w:p w14:paraId="2DAD4590" w14:textId="1D669D5B" w:rsidR="00831E86" w:rsidRPr="00F65ECD" w:rsidRDefault="00C02E25" w:rsidP="007D343B">
      <w:pPr>
        <w:spacing w:before="60" w:line="360" w:lineRule="auto"/>
        <w:ind w:left="720" w:hanging="295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Оценка</w:t>
      </w:r>
      <w:r w:rsidR="00274187" w:rsidRPr="00F65ECD">
        <w:t xml:space="preserve"> аналитической надежности иммуноферментных исследований ежедневно с помощью контрольного материала </w:t>
      </w:r>
      <w:bookmarkStart w:id="0" w:name="_Hlk55983287"/>
      <w:r w:rsidR="00274187" w:rsidRPr="00F65ECD">
        <w:t>МИНИпол</w:t>
      </w:r>
      <w:bookmarkEnd w:id="0"/>
      <w:r w:rsidR="00995363" w:rsidRPr="00F65ECD">
        <w:rPr>
          <w:rStyle w:val="af1"/>
        </w:rPr>
        <w:footnoteReference w:id="1"/>
      </w:r>
      <w:r w:rsidR="00274187" w:rsidRPr="00F65ECD">
        <w:t xml:space="preserve"> с низким содержанием иммунологических маркеров</w:t>
      </w:r>
      <w:r w:rsidR="00145E95" w:rsidRPr="00F65ECD">
        <w:t xml:space="preserve"> и отрицательного контрольного материала ОДС</w:t>
      </w:r>
      <w:r w:rsidR="00995363" w:rsidRPr="00F65ECD">
        <w:t>.</w:t>
      </w:r>
    </w:p>
    <w:p w14:paraId="6B5263F3" w14:textId="7FC80739" w:rsidR="00831E86" w:rsidRPr="00F65ECD" w:rsidRDefault="00C02E25" w:rsidP="007D343B">
      <w:pPr>
        <w:spacing w:before="60" w:line="360" w:lineRule="auto"/>
        <w:ind w:left="720" w:hanging="295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Сравнение</w:t>
      </w:r>
      <w:r w:rsidR="00274187" w:rsidRPr="00F65ECD">
        <w:t xml:space="preserve"> своих результатов исследования </w:t>
      </w:r>
      <w:r w:rsidR="00D715E0" w:rsidRPr="00F65ECD">
        <w:t>контрольн</w:t>
      </w:r>
      <w:r w:rsidR="00D325B4" w:rsidRPr="00F65ECD">
        <w:t>ых</w:t>
      </w:r>
      <w:r w:rsidR="00D715E0" w:rsidRPr="00F65ECD">
        <w:t xml:space="preserve"> материа</w:t>
      </w:r>
      <w:r w:rsidR="00D325B4" w:rsidRPr="00F65ECD">
        <w:t>лов</w:t>
      </w:r>
      <w:r w:rsidR="00D715E0" w:rsidRPr="00F65ECD">
        <w:t xml:space="preserve"> </w:t>
      </w:r>
      <w:r w:rsidR="0092773F" w:rsidRPr="00F65ECD">
        <w:t>МИНИпол</w:t>
      </w:r>
      <w:r w:rsidR="00D325B4" w:rsidRPr="00F65ECD">
        <w:t xml:space="preserve"> и ОДС</w:t>
      </w:r>
      <w:r w:rsidR="00274187" w:rsidRPr="00F65ECD">
        <w:t xml:space="preserve"> с результатами исследовани</w:t>
      </w:r>
      <w:r w:rsidR="00EA7414" w:rsidRPr="00F65ECD">
        <w:t>й</w:t>
      </w:r>
      <w:r w:rsidR="00274187" w:rsidRPr="00F65ECD">
        <w:t xml:space="preserve"> других лабораторий-участниц </w:t>
      </w:r>
      <w:r w:rsidR="004D0955" w:rsidRPr="00F65ECD">
        <w:t>П</w:t>
      </w:r>
      <w:r w:rsidR="00CE58E7" w:rsidRPr="00F65ECD">
        <w:t>рограммы</w:t>
      </w:r>
      <w:r w:rsidR="00274187" w:rsidRPr="00F65ECD">
        <w:t>.</w:t>
      </w:r>
    </w:p>
    <w:p w14:paraId="0AAECB13" w14:textId="77777777" w:rsidR="009041D3" w:rsidRPr="00F65ECD" w:rsidRDefault="00C02E25" w:rsidP="007D343B">
      <w:pPr>
        <w:spacing w:before="60" w:line="360" w:lineRule="auto"/>
        <w:ind w:left="720" w:hanging="295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="003F0218" w:rsidRPr="00F65ECD">
        <w:t>Программа</w:t>
      </w:r>
      <w:r w:rsidR="00274187" w:rsidRPr="00F65ECD">
        <w:t xml:space="preserve"> доступн</w:t>
      </w:r>
      <w:r w:rsidR="003F0218" w:rsidRPr="00F65ECD">
        <w:t>а</w:t>
      </w:r>
      <w:r w:rsidR="00274187" w:rsidRPr="00F65ECD">
        <w:t xml:space="preserve"> для маркеров</w:t>
      </w:r>
      <w:r w:rsidR="009041D3" w:rsidRPr="00F65ECD">
        <w:t>:</w:t>
      </w:r>
    </w:p>
    <w:p w14:paraId="26E5695F" w14:textId="77777777" w:rsidR="009041D3" w:rsidRPr="00F65ECD" w:rsidRDefault="00274187" w:rsidP="009041D3">
      <w:pPr>
        <w:pStyle w:val="a8"/>
        <w:numPr>
          <w:ilvl w:val="0"/>
          <w:numId w:val="10"/>
        </w:numPr>
        <w:spacing w:before="60" w:line="360" w:lineRule="auto"/>
        <w:ind w:left="993" w:hanging="426"/>
        <w:jc w:val="both"/>
        <w:rPr>
          <w:b/>
          <w:bCs/>
          <w:i/>
          <w:iCs/>
        </w:rPr>
      </w:pPr>
      <w:r w:rsidRPr="00F65ECD">
        <w:rPr>
          <w:b/>
          <w:bCs/>
          <w:i/>
          <w:iCs/>
        </w:rPr>
        <w:t xml:space="preserve">HBsAg, </w:t>
      </w:r>
    </w:p>
    <w:p w14:paraId="382A6542" w14:textId="50AA2A9D" w:rsidR="009041D3" w:rsidRPr="00F65ECD" w:rsidRDefault="00274187" w:rsidP="009041D3">
      <w:pPr>
        <w:pStyle w:val="a8"/>
        <w:numPr>
          <w:ilvl w:val="0"/>
          <w:numId w:val="10"/>
        </w:numPr>
        <w:spacing w:before="60" w:line="360" w:lineRule="auto"/>
        <w:ind w:left="993" w:hanging="426"/>
        <w:jc w:val="both"/>
        <w:rPr>
          <w:b/>
          <w:bCs/>
          <w:i/>
          <w:iCs/>
        </w:rPr>
      </w:pPr>
      <w:r w:rsidRPr="00F65ECD">
        <w:rPr>
          <w:b/>
          <w:bCs/>
          <w:i/>
          <w:iCs/>
        </w:rPr>
        <w:t>анти-ВГС</w:t>
      </w:r>
      <w:r w:rsidR="009041D3" w:rsidRPr="00F65ECD">
        <w:rPr>
          <w:b/>
          <w:bCs/>
          <w:i/>
          <w:iCs/>
        </w:rPr>
        <w:t xml:space="preserve">, </w:t>
      </w:r>
    </w:p>
    <w:p w14:paraId="6A2EBE56" w14:textId="77777777" w:rsidR="00863A5F" w:rsidRDefault="004806B2" w:rsidP="009041D3">
      <w:pPr>
        <w:pStyle w:val="a8"/>
        <w:numPr>
          <w:ilvl w:val="0"/>
          <w:numId w:val="10"/>
        </w:numPr>
        <w:spacing w:before="60" w:line="360" w:lineRule="auto"/>
        <w:ind w:left="993" w:hanging="426"/>
        <w:jc w:val="both"/>
        <w:rPr>
          <w:b/>
          <w:bCs/>
          <w:i/>
          <w:iCs/>
        </w:rPr>
      </w:pPr>
      <w:r w:rsidRPr="00F65ECD">
        <w:rPr>
          <w:b/>
          <w:bCs/>
          <w:i/>
          <w:iCs/>
        </w:rPr>
        <w:t>анти-Tr.Pallidum</w:t>
      </w:r>
      <w:r w:rsidR="00863A5F">
        <w:rPr>
          <w:b/>
          <w:bCs/>
          <w:i/>
          <w:iCs/>
        </w:rPr>
        <w:t>,</w:t>
      </w:r>
    </w:p>
    <w:p w14:paraId="52D15BC9" w14:textId="00CE9B5E" w:rsidR="00831E86" w:rsidRPr="00F65ECD" w:rsidRDefault="00863A5F" w:rsidP="009041D3">
      <w:pPr>
        <w:pStyle w:val="a8"/>
        <w:numPr>
          <w:ilvl w:val="0"/>
          <w:numId w:val="10"/>
        </w:numPr>
        <w:spacing w:before="60" w:line="360" w:lineRule="auto"/>
        <w:ind w:left="993" w:hanging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анти-ВИЧ-1</w:t>
      </w:r>
      <w:r w:rsidR="00274187" w:rsidRPr="00F65ECD">
        <w:rPr>
          <w:b/>
          <w:bCs/>
          <w:i/>
          <w:iCs/>
        </w:rPr>
        <w:t>.</w:t>
      </w:r>
    </w:p>
    <w:p w14:paraId="44BB0742" w14:textId="77777777" w:rsidR="00831E86" w:rsidRPr="00F65ECD" w:rsidRDefault="00274187" w:rsidP="007D343B">
      <w:pPr>
        <w:pStyle w:val="3"/>
        <w:spacing w:before="360" w:beforeAutospacing="0" w:after="0" w:afterAutospacing="0" w:line="360" w:lineRule="auto"/>
        <w:jc w:val="both"/>
        <w:rPr>
          <w:rFonts w:eastAsia="Times New Roman"/>
        </w:rPr>
      </w:pPr>
      <w:r w:rsidRPr="00F65ECD">
        <w:rPr>
          <w:rFonts w:eastAsia="Times New Roman"/>
          <w:sz w:val="24"/>
          <w:szCs w:val="24"/>
        </w:rPr>
        <w:t>Материалы Программы</w:t>
      </w:r>
    </w:p>
    <w:p w14:paraId="561255A1" w14:textId="77777777" w:rsidR="00831E86" w:rsidRPr="00F65ECD" w:rsidRDefault="00274187" w:rsidP="007D343B">
      <w:pPr>
        <w:spacing w:before="120" w:after="100" w:afterAutospacing="1" w:line="360" w:lineRule="auto"/>
        <w:jc w:val="both"/>
      </w:pPr>
      <w:r w:rsidRPr="00F65ECD">
        <w:t>Для участия в Программе необходимы следующие реагенты:</w:t>
      </w:r>
    </w:p>
    <w:p w14:paraId="186BD57C" w14:textId="794D146A" w:rsidR="00831E86" w:rsidRPr="00F65ECD" w:rsidRDefault="00274187" w:rsidP="00E559FE">
      <w:pPr>
        <w:pStyle w:val="a8"/>
        <w:numPr>
          <w:ilvl w:val="0"/>
          <w:numId w:val="7"/>
        </w:numPr>
        <w:spacing w:before="60" w:line="360" w:lineRule="auto"/>
        <w:jc w:val="both"/>
      </w:pPr>
      <w:r w:rsidRPr="00F65ECD">
        <w:t>Минимальный положительный контроль МИНИпол, лиофилизированный</w:t>
      </w:r>
      <w:r w:rsidR="00F906B3" w:rsidRPr="00F65ECD">
        <w:rPr>
          <w:rStyle w:val="af1"/>
        </w:rPr>
        <w:footnoteReference w:id="2"/>
      </w:r>
      <w:r w:rsidRPr="00F65ECD">
        <w:t xml:space="preserve"> – для контроля аналитической надежности каждой аналитической серии.</w:t>
      </w:r>
    </w:p>
    <w:p w14:paraId="77E51DC9" w14:textId="77777777" w:rsidR="00D95F87" w:rsidRPr="00F65ECD" w:rsidRDefault="00274187" w:rsidP="0055238D">
      <w:pPr>
        <w:pStyle w:val="a8"/>
        <w:numPr>
          <w:ilvl w:val="0"/>
          <w:numId w:val="7"/>
        </w:numPr>
        <w:spacing w:before="60" w:line="360" w:lineRule="auto"/>
        <w:jc w:val="both"/>
      </w:pPr>
      <w:r w:rsidRPr="00F65ECD">
        <w:t>Наборы реагентов для проведения исследований</w:t>
      </w:r>
      <w:r w:rsidR="00D95F87" w:rsidRPr="00F65ECD">
        <w:t>:</w:t>
      </w:r>
    </w:p>
    <w:p w14:paraId="6C8E6A3A" w14:textId="1B42DFD2" w:rsidR="00D95F87" w:rsidRPr="00F65ECD" w:rsidRDefault="00274187" w:rsidP="00D95F87">
      <w:pPr>
        <w:pStyle w:val="a8"/>
        <w:numPr>
          <w:ilvl w:val="0"/>
          <w:numId w:val="8"/>
        </w:numPr>
        <w:spacing w:before="60" w:line="360" w:lineRule="auto"/>
        <w:ind w:left="993" w:hanging="284"/>
        <w:jc w:val="both"/>
      </w:pPr>
      <w:r w:rsidRPr="00F65ECD">
        <w:t xml:space="preserve">«Вектогеп В – </w:t>
      </w:r>
      <w:r w:rsidRPr="00F65ECD">
        <w:rPr>
          <w:lang w:val="en-US"/>
        </w:rPr>
        <w:t>HBs</w:t>
      </w:r>
      <w:r w:rsidRPr="00F65ECD">
        <w:t>-антиген»</w:t>
      </w:r>
      <w:r w:rsidR="00157D8D" w:rsidRPr="00F65ECD">
        <w:t xml:space="preserve"> (</w:t>
      </w:r>
      <w:r w:rsidR="000B5F18">
        <w:rPr>
          <w:lang w:val="en-US"/>
        </w:rPr>
        <w:t>D</w:t>
      </w:r>
      <w:r w:rsidR="000B5F18" w:rsidRPr="000B5F18">
        <w:t xml:space="preserve">-0549, </w:t>
      </w:r>
      <w:r w:rsidR="00157D8D" w:rsidRPr="00F65ECD">
        <w:rPr>
          <w:lang w:val="en-US"/>
        </w:rPr>
        <w:t>D</w:t>
      </w:r>
      <w:r w:rsidR="00157D8D" w:rsidRPr="00F65ECD">
        <w:t xml:space="preserve">-0555, </w:t>
      </w:r>
      <w:r w:rsidR="00157D8D" w:rsidRPr="00F65ECD">
        <w:rPr>
          <w:lang w:val="en-US"/>
        </w:rPr>
        <w:t>D</w:t>
      </w:r>
      <w:r w:rsidR="00157D8D" w:rsidRPr="00F65ECD">
        <w:t xml:space="preserve">-0556, </w:t>
      </w:r>
      <w:r w:rsidR="00157D8D" w:rsidRPr="00F65ECD">
        <w:rPr>
          <w:lang w:val="en-US"/>
        </w:rPr>
        <w:t>D</w:t>
      </w:r>
      <w:r w:rsidR="00157D8D" w:rsidRPr="00F65ECD">
        <w:t xml:space="preserve">-0557, </w:t>
      </w:r>
      <w:r w:rsidR="00157D8D" w:rsidRPr="00F65ECD">
        <w:rPr>
          <w:lang w:val="en-US"/>
        </w:rPr>
        <w:t>D</w:t>
      </w:r>
      <w:r w:rsidR="00157D8D" w:rsidRPr="00F65ECD">
        <w:t xml:space="preserve">-0558, </w:t>
      </w:r>
      <w:r w:rsidR="00157D8D" w:rsidRPr="00F65ECD">
        <w:rPr>
          <w:lang w:val="en-US"/>
        </w:rPr>
        <w:t>D</w:t>
      </w:r>
      <w:r w:rsidR="00157D8D" w:rsidRPr="00F65ECD">
        <w:t xml:space="preserve">-0559 или </w:t>
      </w:r>
      <w:r w:rsidR="00157D8D" w:rsidRPr="00F65ECD">
        <w:rPr>
          <w:lang w:val="en-US"/>
        </w:rPr>
        <w:t>D</w:t>
      </w:r>
      <w:r w:rsidR="00157D8D" w:rsidRPr="00F65ECD">
        <w:t>-0560)</w:t>
      </w:r>
      <w:r w:rsidRPr="00F65ECD">
        <w:t>,</w:t>
      </w:r>
    </w:p>
    <w:p w14:paraId="1E944A26" w14:textId="77777777" w:rsidR="00D95F87" w:rsidRPr="00F65ECD" w:rsidRDefault="00274187" w:rsidP="00D95F87">
      <w:pPr>
        <w:pStyle w:val="a8"/>
        <w:numPr>
          <w:ilvl w:val="0"/>
          <w:numId w:val="8"/>
        </w:numPr>
        <w:spacing w:before="60" w:line="360" w:lineRule="auto"/>
        <w:ind w:left="993" w:hanging="284"/>
        <w:jc w:val="both"/>
      </w:pPr>
      <w:r w:rsidRPr="00F65ECD">
        <w:t>«Бест анти-ВГС»</w:t>
      </w:r>
      <w:r w:rsidR="00157D8D" w:rsidRPr="00F65ECD">
        <w:t xml:space="preserve"> (D-0770, D-</w:t>
      </w:r>
      <w:r w:rsidR="00C05C31" w:rsidRPr="00F65ECD">
        <w:t>0749,</w:t>
      </w:r>
      <w:r w:rsidR="00023B37" w:rsidRPr="00F65ECD">
        <w:t xml:space="preserve"> </w:t>
      </w:r>
      <w:r w:rsidR="00157D8D" w:rsidRPr="00F65ECD">
        <w:t>D-0771, D-0772, D-0773, D-0774, D-0775 или D-0776)</w:t>
      </w:r>
      <w:r w:rsidR="00023B37" w:rsidRPr="00F65ECD">
        <w:t xml:space="preserve">, </w:t>
      </w:r>
    </w:p>
    <w:p w14:paraId="3382BE22" w14:textId="76D811E5" w:rsidR="00395DC9" w:rsidRDefault="00895A2F" w:rsidP="00D95F87">
      <w:pPr>
        <w:pStyle w:val="a8"/>
        <w:numPr>
          <w:ilvl w:val="0"/>
          <w:numId w:val="8"/>
        </w:numPr>
        <w:spacing w:before="60" w:line="360" w:lineRule="auto"/>
        <w:ind w:left="993" w:hanging="284"/>
        <w:jc w:val="both"/>
      </w:pPr>
      <w:r w:rsidRPr="00F65ECD">
        <w:t>«РекомбиБест антипаллидум-суммарные антитела» (D-1854, D-185</w:t>
      </w:r>
      <w:r w:rsidR="00C415F0" w:rsidRPr="00F65ECD">
        <w:t>5, D-1856,</w:t>
      </w:r>
      <w:r w:rsidR="005253FD" w:rsidRPr="005253FD">
        <w:t xml:space="preserve">   </w:t>
      </w:r>
      <w:r w:rsidR="008F7009" w:rsidRPr="00F65ECD">
        <w:t xml:space="preserve">    </w:t>
      </w:r>
      <w:r w:rsidRPr="00F65ECD">
        <w:t>D-1857, D-1875</w:t>
      </w:r>
      <w:r w:rsidR="00C415F0" w:rsidRPr="00F65ECD">
        <w:t xml:space="preserve"> и</w:t>
      </w:r>
      <w:r w:rsidRPr="00F65ECD">
        <w:t xml:space="preserve"> D-1849)</w:t>
      </w:r>
      <w:r w:rsidR="00863A5F">
        <w:t>,</w:t>
      </w:r>
    </w:p>
    <w:p w14:paraId="3128C32B" w14:textId="7060D078" w:rsidR="00863A5F" w:rsidRPr="00F65ECD" w:rsidRDefault="007261EE" w:rsidP="00D95F87">
      <w:pPr>
        <w:pStyle w:val="a8"/>
        <w:numPr>
          <w:ilvl w:val="0"/>
          <w:numId w:val="8"/>
        </w:numPr>
        <w:spacing w:before="60" w:line="360" w:lineRule="auto"/>
        <w:ind w:left="993" w:hanging="284"/>
        <w:jc w:val="both"/>
      </w:pPr>
      <w:r w:rsidRPr="00E665D9">
        <w:lastRenderedPageBreak/>
        <w:t>«КомбиБест ВИЧ-1,2 АГ/АТ»</w:t>
      </w:r>
      <w:r>
        <w:t xml:space="preserve"> (</w:t>
      </w:r>
      <w:r>
        <w:rPr>
          <w:lang w:val="en-US"/>
        </w:rPr>
        <w:t>D</w:t>
      </w:r>
      <w:r w:rsidRPr="001E283C">
        <w:t>-</w:t>
      </w:r>
      <w:r w:rsidR="001E283C" w:rsidRPr="001E283C">
        <w:t>0149</w:t>
      </w:r>
      <w:r w:rsidR="001E283C" w:rsidRPr="00AB3656">
        <w:t xml:space="preserve">, </w:t>
      </w:r>
      <w:r w:rsidR="001E283C">
        <w:rPr>
          <w:lang w:val="en-US"/>
        </w:rPr>
        <w:t>D</w:t>
      </w:r>
      <w:r w:rsidR="001E283C" w:rsidRPr="00AB3656">
        <w:t>-0150</w:t>
      </w:r>
      <w:r w:rsidR="00811ED3" w:rsidRPr="00AB3656">
        <w:t xml:space="preserve"> </w:t>
      </w:r>
      <w:r w:rsidR="00811ED3">
        <w:t xml:space="preserve">или </w:t>
      </w:r>
      <w:r w:rsidR="00811ED3">
        <w:rPr>
          <w:lang w:val="en-US"/>
        </w:rPr>
        <w:t>D</w:t>
      </w:r>
      <w:r w:rsidR="00811ED3" w:rsidRPr="00AB3656">
        <w:t>-0151</w:t>
      </w:r>
      <w:r>
        <w:t>)</w:t>
      </w:r>
      <w:r w:rsidR="005253FD" w:rsidRPr="005253FD">
        <w:t xml:space="preserve"> </w:t>
      </w:r>
      <w:r w:rsidR="005253FD" w:rsidRPr="00F65ECD">
        <w:t>производства АО «Вектор-Бест»</w:t>
      </w:r>
      <w:r w:rsidR="00AB3656" w:rsidRPr="00AB3656">
        <w:t>.</w:t>
      </w:r>
    </w:p>
    <w:p w14:paraId="07749D81" w14:textId="027A93BF" w:rsidR="00395DC9" w:rsidRPr="00F65ECD" w:rsidRDefault="00395DC9" w:rsidP="00395DC9">
      <w:pPr>
        <w:pStyle w:val="a8"/>
        <w:numPr>
          <w:ilvl w:val="0"/>
          <w:numId w:val="7"/>
        </w:numPr>
        <w:spacing w:before="60" w:line="360" w:lineRule="auto"/>
        <w:jc w:val="both"/>
      </w:pPr>
      <w:r w:rsidRPr="00F65ECD">
        <w:rPr>
          <w:i/>
          <w:iCs/>
        </w:rPr>
        <w:t>Рекомендуемый контрольный материал ОДС – отрицательная донорская сыворотка (D-3020) – для контроля аналитической надежности каждой аналитической серии</w:t>
      </w:r>
      <w:r w:rsidRPr="00F65ECD">
        <w:t>.</w:t>
      </w:r>
    </w:p>
    <w:p w14:paraId="51A8825B" w14:textId="77777777" w:rsidR="00831E86" w:rsidRPr="00F65ECD" w:rsidRDefault="00274187" w:rsidP="007D343B">
      <w:pPr>
        <w:pStyle w:val="3"/>
        <w:spacing w:before="360" w:beforeAutospacing="0" w:after="0" w:afterAutospacing="0" w:line="360" w:lineRule="auto"/>
        <w:jc w:val="both"/>
        <w:rPr>
          <w:rFonts w:eastAsia="Times New Roman"/>
        </w:rPr>
      </w:pPr>
      <w:r w:rsidRPr="00F65ECD">
        <w:rPr>
          <w:rFonts w:eastAsia="Times New Roman"/>
          <w:sz w:val="24"/>
          <w:szCs w:val="24"/>
        </w:rPr>
        <w:t>Основные положения Программы</w:t>
      </w:r>
    </w:p>
    <w:p w14:paraId="489DB480" w14:textId="5E1ECF23" w:rsidR="00831E86" w:rsidRPr="00F65ECD" w:rsidRDefault="00C02E25" w:rsidP="007D343B">
      <w:pPr>
        <w:pStyle w:val="a4"/>
        <w:spacing w:before="120" w:beforeAutospacing="0" w:after="0" w:afterAutospacing="0" w:line="360" w:lineRule="auto"/>
        <w:ind w:left="720" w:hanging="294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Ежедневный</w:t>
      </w:r>
      <w:r w:rsidR="00274187" w:rsidRPr="00F65ECD">
        <w:t xml:space="preserve"> визуальный контроль результатов исследований по диаграмме.</w:t>
      </w:r>
    </w:p>
    <w:p w14:paraId="65226B5D" w14:textId="57C591FB" w:rsidR="00831E86" w:rsidRPr="00F65ECD" w:rsidRDefault="00C02E25" w:rsidP="007D343B">
      <w:pPr>
        <w:pStyle w:val="a4"/>
        <w:spacing w:before="60" w:beforeAutospacing="0" w:after="0" w:afterAutospacing="0" w:line="360" w:lineRule="auto"/>
        <w:ind w:left="720" w:hanging="294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Техническая</w:t>
      </w:r>
      <w:r w:rsidR="00274187" w:rsidRPr="00F65ECD">
        <w:t xml:space="preserve"> поддержка лаборатории и помощь в поиске ошибок.</w:t>
      </w:r>
    </w:p>
    <w:p w14:paraId="747DB8F5" w14:textId="5580CD36" w:rsidR="00831E86" w:rsidRPr="00F65ECD" w:rsidRDefault="00C02E25" w:rsidP="007D343B">
      <w:pPr>
        <w:pStyle w:val="a4"/>
        <w:spacing w:before="60" w:beforeAutospacing="0" w:after="0" w:afterAutospacing="0" w:line="360" w:lineRule="auto"/>
        <w:ind w:left="720" w:hanging="294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Отчет</w:t>
      </w:r>
      <w:r w:rsidR="00274187" w:rsidRPr="00F65ECD">
        <w:t xml:space="preserve"> по Программе межлабораторных сличений «Вместе».</w:t>
      </w:r>
    </w:p>
    <w:p w14:paraId="162D779B" w14:textId="270B723F" w:rsidR="00831E86" w:rsidRPr="00F65ECD" w:rsidRDefault="00C02E25" w:rsidP="007D343B">
      <w:pPr>
        <w:pStyle w:val="a4"/>
        <w:spacing w:before="60" w:beforeAutospacing="0" w:after="0" w:afterAutospacing="0" w:line="360" w:lineRule="auto"/>
        <w:ind w:left="720" w:hanging="295"/>
        <w:jc w:val="both"/>
      </w:pPr>
      <w:r w:rsidRPr="00F65ECD">
        <w:rPr>
          <w:rFonts w:ascii="Symbol" w:hAnsi="Symbol"/>
        </w:rPr>
        <w:t></w:t>
      </w:r>
      <w:r w:rsidRPr="00F65ECD">
        <w:rPr>
          <w:sz w:val="14"/>
          <w:szCs w:val="14"/>
        </w:rPr>
        <w:t xml:space="preserve"> </w:t>
      </w:r>
      <w:r w:rsidRPr="00F65ECD">
        <w:t>Свидетельство</w:t>
      </w:r>
      <w:r w:rsidR="00274187" w:rsidRPr="00F65ECD">
        <w:t xml:space="preserve"> об участии в Программе межлабораторных сличений «Вместе».</w:t>
      </w:r>
    </w:p>
    <w:p w14:paraId="69523EA9" w14:textId="77777777" w:rsidR="00831E86" w:rsidRPr="00F65ECD" w:rsidRDefault="00274187" w:rsidP="007D343B">
      <w:pPr>
        <w:pStyle w:val="1"/>
        <w:spacing w:before="360" w:beforeAutospacing="0" w:line="360" w:lineRule="auto"/>
        <w:jc w:val="both"/>
        <w:rPr>
          <w:rFonts w:eastAsia="Times New Roman"/>
        </w:rPr>
      </w:pPr>
      <w:r w:rsidRPr="00F65ECD">
        <w:rPr>
          <w:rFonts w:eastAsia="Times New Roman"/>
          <w:sz w:val="24"/>
          <w:szCs w:val="24"/>
        </w:rPr>
        <w:t>Этапы работы:</w:t>
      </w:r>
    </w:p>
    <w:p w14:paraId="133AD2EE" w14:textId="49709EE5" w:rsidR="00831E86" w:rsidRPr="00F65ECD" w:rsidRDefault="00274187" w:rsidP="007D343B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>Получите от Вашего менеджера</w:t>
      </w:r>
      <w:r w:rsidR="006B3A65" w:rsidRPr="006B3A65">
        <w:rPr>
          <w:rFonts w:eastAsia="Times New Roman"/>
        </w:rPr>
        <w:t xml:space="preserve"> </w:t>
      </w:r>
      <w:r w:rsidRPr="00F65ECD">
        <w:rPr>
          <w:rFonts w:eastAsia="Times New Roman"/>
        </w:rPr>
        <w:t xml:space="preserve">ссылку на регистрацию, которая привязана к наименованию Вашей лаборатории, или отправьте заявку на электронный адрес </w:t>
      </w:r>
      <w:hyperlink r:id="rId8" w:history="1">
        <w:r w:rsidRPr="00F65ECD">
          <w:rPr>
            <w:rStyle w:val="a6"/>
            <w:rFonts w:eastAsia="Times New Roman"/>
          </w:rPr>
          <w:t>pvok@vector-best.ru</w:t>
        </w:r>
      </w:hyperlink>
      <w:r w:rsidRPr="00F65ECD">
        <w:rPr>
          <w:rFonts w:eastAsia="Times New Roman"/>
        </w:rPr>
        <w:t xml:space="preserve"> для получения ссылки от </w:t>
      </w:r>
      <w:r w:rsidR="00CD73F0">
        <w:rPr>
          <w:rFonts w:eastAsia="Times New Roman"/>
        </w:rPr>
        <w:t>координатора</w:t>
      </w:r>
      <w:r w:rsidRPr="00F65ECD">
        <w:rPr>
          <w:rFonts w:eastAsia="Times New Roman"/>
        </w:rPr>
        <w:t xml:space="preserve"> </w:t>
      </w:r>
      <w:r w:rsidR="0092773F" w:rsidRPr="00F65ECD">
        <w:rPr>
          <w:rFonts w:eastAsia="Times New Roman"/>
        </w:rPr>
        <w:t>Программы</w:t>
      </w:r>
      <w:r w:rsidRPr="00F65ECD">
        <w:rPr>
          <w:rFonts w:eastAsia="Times New Roman"/>
        </w:rPr>
        <w:t xml:space="preserve">. Зарегистрируйтесь по присланной ссылке на сайте </w:t>
      </w:r>
      <w:hyperlink r:id="rId9" w:history="1">
        <w:r w:rsidRPr="00F65ECD">
          <w:rPr>
            <w:rStyle w:val="a6"/>
            <w:rFonts w:eastAsia="Times New Roman"/>
          </w:rPr>
          <w:t>www.vector-best.ru</w:t>
        </w:r>
      </w:hyperlink>
      <w:r w:rsidRPr="00F65ECD">
        <w:rPr>
          <w:rFonts w:eastAsia="Times New Roman"/>
        </w:rPr>
        <w:t>. Для этого введите в требуемое поле Ваш электронный адрес, а после отправления запроса Вы получите логин и пароль для входа на сайт в свой личный кабинет. Перейдите в раздел</w:t>
      </w:r>
      <w:r w:rsidRPr="00F65ECD">
        <w:rPr>
          <w:rFonts w:eastAsia="Times New Roman"/>
          <w:sz w:val="28"/>
          <w:szCs w:val="28"/>
        </w:rPr>
        <w:t xml:space="preserve"> </w:t>
      </w:r>
      <w:r w:rsidRPr="00F65ECD">
        <w:rPr>
          <w:rFonts w:eastAsia="Times New Roman"/>
        </w:rPr>
        <w:t xml:space="preserve">«Оценка качества», далее «Личный кабинет </w:t>
      </w:r>
      <w:r w:rsidR="00170B27" w:rsidRPr="00F65ECD">
        <w:rPr>
          <w:rFonts w:eastAsia="Times New Roman"/>
        </w:rPr>
        <w:t>П</w:t>
      </w:r>
      <w:r w:rsidRPr="00F65ECD">
        <w:rPr>
          <w:rFonts w:eastAsia="Times New Roman"/>
        </w:rPr>
        <w:t xml:space="preserve">рограммы межлабораторных сличений «Вместе». Заполните реквизиты Вашей лаборатории в нижней части страницы. </w:t>
      </w:r>
    </w:p>
    <w:p w14:paraId="52BABFC3" w14:textId="41630CB3" w:rsidR="00831E86" w:rsidRPr="00F65ECD" w:rsidRDefault="00274187" w:rsidP="007D343B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После заполнения </w:t>
      </w:r>
      <w:r w:rsidR="001F4C4A" w:rsidRPr="00F65ECD">
        <w:rPr>
          <w:rFonts w:eastAsia="Times New Roman"/>
        </w:rPr>
        <w:t xml:space="preserve">данных </w:t>
      </w:r>
      <w:r w:rsidR="00F601AD" w:rsidRPr="00F65ECD">
        <w:rPr>
          <w:rFonts w:eastAsia="Times New Roman"/>
        </w:rPr>
        <w:t xml:space="preserve">лаборатории </w:t>
      </w:r>
      <w:r w:rsidRPr="00F65ECD">
        <w:rPr>
          <w:rFonts w:eastAsia="Times New Roman"/>
        </w:rPr>
        <w:t xml:space="preserve">необходимо кликнуть серую кнопку «Сохранить». Если не сохраните введенные данные, они исчезнут. Там же расположено «Обращение к участнику» и серая кнопка «Получить протокол», привязанная к дате исследования, которая загружает поля протокола для заполнения на конкретную дату. </w:t>
      </w:r>
    </w:p>
    <w:p w14:paraId="37F5F1AB" w14:textId="77777777" w:rsidR="00F85816" w:rsidRPr="00F65ECD" w:rsidRDefault="00274187" w:rsidP="00F85816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Обратите внимание на объем восстановленного образца контрольного материала </w:t>
      </w:r>
      <w:bookmarkStart w:id="1" w:name="_Hlk55983363"/>
      <w:r w:rsidRPr="00F65ECD">
        <w:rPr>
          <w:rFonts w:eastAsia="Times New Roman"/>
        </w:rPr>
        <w:t>МИНИпол</w:t>
      </w:r>
      <w:bookmarkEnd w:id="1"/>
      <w:r w:rsidRPr="00F65ECD">
        <w:rPr>
          <w:rFonts w:eastAsia="Times New Roman"/>
        </w:rPr>
        <w:t xml:space="preserve"> во флаконе</w:t>
      </w:r>
      <w:r w:rsidR="00F85816" w:rsidRPr="00F65ECD">
        <w:rPr>
          <w:rFonts w:eastAsia="Times New Roman"/>
        </w:rPr>
        <w:t>:</w:t>
      </w:r>
    </w:p>
    <w:p w14:paraId="4AA6712D" w14:textId="77777777" w:rsidR="00F85816" w:rsidRPr="00F65ECD" w:rsidRDefault="000E1A7C" w:rsidP="00F85816">
      <w:pPr>
        <w:pStyle w:val="a8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0,2 мл для </w:t>
      </w:r>
      <w:r w:rsidRPr="00F65ECD">
        <w:rPr>
          <w:rFonts w:eastAsia="Times New Roman"/>
          <w:lang w:val="en-US"/>
        </w:rPr>
        <w:t>D</w:t>
      </w:r>
      <w:r w:rsidRPr="00F65ECD">
        <w:rPr>
          <w:rFonts w:eastAsia="Times New Roman"/>
        </w:rPr>
        <w:t xml:space="preserve">-3001, </w:t>
      </w:r>
    </w:p>
    <w:p w14:paraId="252907C5" w14:textId="02CCA111" w:rsidR="00F85816" w:rsidRPr="00F65ECD" w:rsidRDefault="00274187" w:rsidP="00F85816">
      <w:pPr>
        <w:pStyle w:val="a8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1,0 мл для </w:t>
      </w:r>
      <w:r w:rsidRPr="00F65ECD">
        <w:rPr>
          <w:rFonts w:eastAsia="Times New Roman"/>
          <w:lang w:val="en-US"/>
        </w:rPr>
        <w:t>D</w:t>
      </w:r>
      <w:r w:rsidRPr="00F65ECD">
        <w:rPr>
          <w:rFonts w:eastAsia="Times New Roman"/>
        </w:rPr>
        <w:t xml:space="preserve">-3002 и </w:t>
      </w:r>
      <w:r w:rsidRPr="00F65ECD">
        <w:rPr>
          <w:rFonts w:eastAsia="Times New Roman"/>
          <w:lang w:val="en-US"/>
        </w:rPr>
        <w:t>D</w:t>
      </w:r>
      <w:r w:rsidRPr="00F65ECD">
        <w:rPr>
          <w:rFonts w:eastAsia="Times New Roman"/>
        </w:rPr>
        <w:t>-3003</w:t>
      </w:r>
      <w:r w:rsidR="000E1A7C" w:rsidRPr="00F65ECD">
        <w:rPr>
          <w:rFonts w:eastAsia="Times New Roman"/>
        </w:rPr>
        <w:t>,</w:t>
      </w:r>
    </w:p>
    <w:p w14:paraId="1A2086DC" w14:textId="77777777" w:rsidR="00F85816" w:rsidRPr="00F65ECD" w:rsidRDefault="00274187" w:rsidP="00F85816">
      <w:pPr>
        <w:pStyle w:val="a8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0,5 мл для </w:t>
      </w:r>
      <w:r w:rsidRPr="00F65ECD">
        <w:rPr>
          <w:rFonts w:eastAsia="Times New Roman"/>
          <w:lang w:val="en-US"/>
        </w:rPr>
        <w:t>D</w:t>
      </w:r>
      <w:r w:rsidRPr="00F65ECD">
        <w:rPr>
          <w:rFonts w:eastAsia="Times New Roman"/>
        </w:rPr>
        <w:t xml:space="preserve">-3004. </w:t>
      </w:r>
    </w:p>
    <w:p w14:paraId="58ADFFBB" w14:textId="6D618957" w:rsidR="008A4B3A" w:rsidRPr="00F65ECD" w:rsidRDefault="000F461F" w:rsidP="008A4B3A">
      <w:pPr>
        <w:spacing w:line="360" w:lineRule="auto"/>
        <w:ind w:left="720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Контрольный материал ОДС </w:t>
      </w:r>
      <w:r w:rsidR="00C94F7F" w:rsidRPr="00F65ECD">
        <w:rPr>
          <w:rFonts w:eastAsia="Times New Roman"/>
        </w:rPr>
        <w:t xml:space="preserve">жидкий и </w:t>
      </w:r>
      <w:r w:rsidRPr="00F65ECD">
        <w:rPr>
          <w:rFonts w:eastAsia="Times New Roman"/>
        </w:rPr>
        <w:t xml:space="preserve">готов к использованию. </w:t>
      </w:r>
    </w:p>
    <w:p w14:paraId="615B8ABB" w14:textId="0473AEDE" w:rsidR="00831E86" w:rsidRPr="00F65ECD" w:rsidRDefault="00274187" w:rsidP="008A4B3A">
      <w:pPr>
        <w:spacing w:line="360" w:lineRule="auto"/>
        <w:ind w:left="720"/>
        <w:jc w:val="both"/>
        <w:rPr>
          <w:rFonts w:eastAsia="Times New Roman"/>
        </w:rPr>
      </w:pPr>
      <w:r w:rsidRPr="00F65ECD">
        <w:rPr>
          <w:rFonts w:eastAsia="Times New Roman"/>
        </w:rPr>
        <w:lastRenderedPageBreak/>
        <w:t xml:space="preserve">Для исследования </w:t>
      </w:r>
      <w:r w:rsidR="008A4B3A" w:rsidRPr="00F65ECD">
        <w:rPr>
          <w:rFonts w:eastAsia="Times New Roman"/>
        </w:rPr>
        <w:t xml:space="preserve">контрольных материалов </w:t>
      </w:r>
      <w:r w:rsidR="0092773F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 xml:space="preserve"> </w:t>
      </w:r>
      <w:r w:rsidR="008A4B3A" w:rsidRPr="00F65ECD">
        <w:rPr>
          <w:rFonts w:eastAsia="Times New Roman"/>
        </w:rPr>
        <w:t xml:space="preserve">и ОДС </w:t>
      </w:r>
      <w:r w:rsidRPr="00F65ECD">
        <w:rPr>
          <w:rFonts w:eastAsia="Times New Roman"/>
        </w:rPr>
        <w:t xml:space="preserve">в одной аналитической серии (одном стрипе, одном планшете) набора «Вектогеп В – </w:t>
      </w:r>
      <w:r w:rsidRPr="00F65ECD">
        <w:rPr>
          <w:rFonts w:eastAsia="Times New Roman"/>
          <w:lang w:val="en-US"/>
        </w:rPr>
        <w:t>HBs</w:t>
      </w:r>
      <w:r w:rsidRPr="00F65ECD">
        <w:rPr>
          <w:rFonts w:eastAsia="Times New Roman"/>
        </w:rPr>
        <w:t>-антиген» необходимо</w:t>
      </w:r>
      <w:r w:rsidR="00E6451F" w:rsidRPr="00F65ECD">
        <w:rPr>
          <w:rFonts w:eastAsia="Times New Roman"/>
        </w:rPr>
        <w:t xml:space="preserve"> </w:t>
      </w:r>
      <w:r w:rsidRPr="00F65ECD">
        <w:rPr>
          <w:rFonts w:eastAsia="Times New Roman"/>
        </w:rPr>
        <w:t xml:space="preserve">0,1 мл </w:t>
      </w:r>
      <w:r w:rsidR="00B274C8" w:rsidRPr="00F65ECD">
        <w:rPr>
          <w:rFonts w:eastAsia="Times New Roman"/>
        </w:rPr>
        <w:t xml:space="preserve">каждого </w:t>
      </w:r>
      <w:r w:rsidRPr="00F65ECD">
        <w:rPr>
          <w:rFonts w:eastAsia="Times New Roman"/>
        </w:rPr>
        <w:t xml:space="preserve">образца, «Бест анти-ВГС» </w:t>
      </w:r>
      <w:r w:rsidR="000B5349" w:rsidRPr="00F65ECD">
        <w:rPr>
          <w:rFonts w:eastAsia="Times New Roman"/>
        </w:rPr>
        <w:t>–</w:t>
      </w:r>
      <w:r w:rsidRPr="00F65ECD">
        <w:rPr>
          <w:rFonts w:eastAsia="Times New Roman"/>
        </w:rPr>
        <w:t xml:space="preserve"> 0,04 мл</w:t>
      </w:r>
      <w:r w:rsidR="00C064B8">
        <w:rPr>
          <w:rFonts w:eastAsia="Times New Roman"/>
        </w:rPr>
        <w:t xml:space="preserve">, </w:t>
      </w:r>
      <w:r w:rsidR="00EA5497" w:rsidRPr="00F65ECD">
        <w:t xml:space="preserve">«РекомбиБест антипаллидум-суммарные антитела» </w:t>
      </w:r>
      <w:r w:rsidR="00B274C8" w:rsidRPr="00F65ECD">
        <w:t>–</w:t>
      </w:r>
      <w:r w:rsidR="00EA5497" w:rsidRPr="00F65ECD">
        <w:t xml:space="preserve"> 0,01 мл</w:t>
      </w:r>
      <w:r w:rsidR="00C064B8">
        <w:t xml:space="preserve"> и</w:t>
      </w:r>
      <w:r w:rsidR="00C064B8" w:rsidRPr="009033D8">
        <w:rPr>
          <w:rFonts w:eastAsia="Times New Roman"/>
        </w:rPr>
        <w:t xml:space="preserve"> «</w:t>
      </w:r>
      <w:r w:rsidR="00C064B8" w:rsidRPr="004D0F4A">
        <w:rPr>
          <w:rFonts w:eastAsia="Times New Roman"/>
        </w:rPr>
        <w:t>КомбиБест ВИЧ-1,2 АГ/АТ</w:t>
      </w:r>
      <w:r w:rsidR="00C064B8" w:rsidRPr="009033D8">
        <w:rPr>
          <w:rFonts w:eastAsia="Times New Roman"/>
        </w:rPr>
        <w:t xml:space="preserve">» </w:t>
      </w:r>
      <w:r w:rsidR="00C064B8" w:rsidRPr="00F65ECD">
        <w:t xml:space="preserve">– </w:t>
      </w:r>
      <w:r w:rsidR="00C064B8">
        <w:t>0,</w:t>
      </w:r>
      <w:r w:rsidR="00860B50">
        <w:t>0</w:t>
      </w:r>
      <w:r w:rsidR="00C064B8" w:rsidRPr="00C74D59">
        <w:rPr>
          <w:rFonts w:eastAsia="Times New Roman"/>
        </w:rPr>
        <w:t>7</w:t>
      </w:r>
      <w:r w:rsidR="00C064B8" w:rsidRPr="009033D8">
        <w:rPr>
          <w:b/>
          <w:bCs/>
        </w:rPr>
        <w:t> </w:t>
      </w:r>
      <w:r w:rsidR="00C064B8" w:rsidRPr="009033D8">
        <w:rPr>
          <w:rFonts w:eastAsia="Times New Roman"/>
        </w:rPr>
        <w:t xml:space="preserve">мл образца, </w:t>
      </w:r>
      <w:r w:rsidR="00B274C8" w:rsidRPr="00F65ECD">
        <w:t>соответственно</w:t>
      </w:r>
      <w:r w:rsidR="00F87D12" w:rsidRPr="00F65ECD">
        <w:t xml:space="preserve">. Контрольные материалы </w:t>
      </w:r>
      <w:r w:rsidR="0092773F" w:rsidRPr="00F65ECD">
        <w:rPr>
          <w:rFonts w:eastAsia="Times New Roman"/>
        </w:rPr>
        <w:t>МИНИпол</w:t>
      </w:r>
      <w:r w:rsidR="00F87D12" w:rsidRPr="00F65ECD">
        <w:rPr>
          <w:rFonts w:eastAsia="Times New Roman"/>
        </w:rPr>
        <w:t xml:space="preserve"> и ОДС</w:t>
      </w:r>
      <w:r w:rsidRPr="00F65ECD">
        <w:rPr>
          <w:rFonts w:eastAsia="Times New Roman"/>
        </w:rPr>
        <w:t xml:space="preserve"> внос</w:t>
      </w:r>
      <w:r w:rsidR="00F87D12" w:rsidRPr="00F65ECD">
        <w:rPr>
          <w:rFonts w:eastAsia="Times New Roman"/>
        </w:rPr>
        <w:t>я</w:t>
      </w:r>
      <w:r w:rsidRPr="00F65ECD">
        <w:rPr>
          <w:rFonts w:eastAsia="Times New Roman"/>
        </w:rPr>
        <w:t xml:space="preserve">тся </w:t>
      </w:r>
      <w:r w:rsidR="00F7687B">
        <w:rPr>
          <w:rFonts w:eastAsia="Times New Roman"/>
        </w:rPr>
        <w:t xml:space="preserve">в одном </w:t>
      </w:r>
      <w:r w:rsidR="008C4734">
        <w:rPr>
          <w:rFonts w:eastAsia="Times New Roman"/>
        </w:rPr>
        <w:t>повторе</w:t>
      </w:r>
      <w:r w:rsidR="00F87D12" w:rsidRPr="00F65ECD">
        <w:rPr>
          <w:rFonts w:eastAsia="Times New Roman"/>
        </w:rPr>
        <w:t>, наряду с пробами пациентов.</w:t>
      </w:r>
      <w:r w:rsidRPr="00F65ECD">
        <w:rPr>
          <w:rFonts w:eastAsia="Times New Roman"/>
        </w:rPr>
        <w:t xml:space="preserve"> При планировании анализов учитывайте сроки и температурный режим хранения </w:t>
      </w:r>
      <w:r w:rsidR="004C547F" w:rsidRPr="00F65ECD">
        <w:rPr>
          <w:rFonts w:eastAsia="Times New Roman"/>
        </w:rPr>
        <w:t xml:space="preserve">вскрытого флакона ОДС и </w:t>
      </w:r>
      <w:r w:rsidRPr="00F65ECD">
        <w:rPr>
          <w:rFonts w:eastAsia="Times New Roman"/>
        </w:rPr>
        <w:t xml:space="preserve">восстановленного образца </w:t>
      </w:r>
      <w:r w:rsidR="0092773F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>,</w:t>
      </w:r>
      <w:r w:rsidR="004C547F" w:rsidRPr="00F65ECD">
        <w:rPr>
          <w:rFonts w:eastAsia="Times New Roman"/>
        </w:rPr>
        <w:t xml:space="preserve"> </w:t>
      </w:r>
      <w:r w:rsidRPr="00F65ECD">
        <w:rPr>
          <w:rFonts w:eastAsia="Times New Roman"/>
        </w:rPr>
        <w:t>указанные в инструкци</w:t>
      </w:r>
      <w:r w:rsidR="0092773F" w:rsidRPr="00F65ECD">
        <w:rPr>
          <w:rFonts w:eastAsia="Times New Roman"/>
        </w:rPr>
        <w:t>и</w:t>
      </w:r>
      <w:r w:rsidRPr="00F65ECD">
        <w:rPr>
          <w:rFonts w:eastAsia="Times New Roman"/>
        </w:rPr>
        <w:t xml:space="preserve"> </w:t>
      </w:r>
      <w:r w:rsidR="00F95B77" w:rsidRPr="00F65ECD">
        <w:rPr>
          <w:rFonts w:eastAsia="Times New Roman"/>
        </w:rPr>
        <w:t>по</w:t>
      </w:r>
      <w:r w:rsidRPr="00F65ECD">
        <w:rPr>
          <w:rFonts w:eastAsia="Times New Roman"/>
        </w:rPr>
        <w:t xml:space="preserve"> применению. </w:t>
      </w:r>
    </w:p>
    <w:p w14:paraId="0FE6218C" w14:textId="7437E0F6" w:rsidR="00831E86" w:rsidRPr="00F65ECD" w:rsidRDefault="00274187" w:rsidP="007D343B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Подготовьте </w:t>
      </w:r>
      <w:bookmarkStart w:id="2" w:name="_Hlk55990762"/>
      <w:r w:rsidR="0092773F" w:rsidRPr="00F65ECD">
        <w:rPr>
          <w:rFonts w:eastAsia="Times New Roman"/>
        </w:rPr>
        <w:t>МИНИпол</w:t>
      </w:r>
      <w:bookmarkEnd w:id="2"/>
      <w:r w:rsidRPr="00F65ECD">
        <w:rPr>
          <w:rFonts w:eastAsia="Times New Roman"/>
        </w:rPr>
        <w:t xml:space="preserve">: восстановите лиофильно высушенные образцы согласно инструкции к применению КМ. </w:t>
      </w:r>
      <w:r w:rsidRPr="00F65ECD">
        <w:rPr>
          <w:rFonts w:eastAsia="Times New Roman"/>
          <w:b/>
          <w:bCs/>
        </w:rPr>
        <w:t>Если необходимо,</w:t>
      </w:r>
      <w:r w:rsidRPr="00F65ECD">
        <w:rPr>
          <w:rFonts w:eastAsia="Times New Roman"/>
        </w:rPr>
        <w:t xml:space="preserve"> расфасуйте (аликвотируйте) восстановленный </w:t>
      </w:r>
      <w:r w:rsidR="0092773F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 xml:space="preserve"> в пробирки типа </w:t>
      </w:r>
      <w:r w:rsidR="00C05C31" w:rsidRPr="00F65ECD">
        <w:rPr>
          <w:rFonts w:eastAsia="Times New Roman"/>
        </w:rPr>
        <w:t xml:space="preserve">эппендорф </w:t>
      </w:r>
      <w:r w:rsidRPr="00F65ECD">
        <w:rPr>
          <w:rFonts w:eastAsia="Times New Roman"/>
        </w:rPr>
        <w:t xml:space="preserve">и положите на хранение </w:t>
      </w:r>
      <w:r w:rsidRPr="00F65ECD">
        <w:rPr>
          <w:rFonts w:eastAsia="Times New Roman"/>
          <w:b/>
          <w:bCs/>
        </w:rPr>
        <w:t xml:space="preserve">при выбранном температурном режиме, указанном в разделе 6.1. инструкции </w:t>
      </w:r>
      <w:r w:rsidR="008F36CC" w:rsidRPr="00F65ECD">
        <w:rPr>
          <w:rFonts w:eastAsia="Times New Roman"/>
          <w:b/>
          <w:bCs/>
        </w:rPr>
        <w:t>по</w:t>
      </w:r>
      <w:r w:rsidRPr="00F65ECD">
        <w:rPr>
          <w:rFonts w:eastAsia="Times New Roman"/>
          <w:b/>
          <w:bCs/>
        </w:rPr>
        <w:t xml:space="preserve"> применению МИНИпол: </w:t>
      </w:r>
      <w:r w:rsidRPr="00F65ECD">
        <w:rPr>
          <w:rFonts w:eastAsia="Times New Roman"/>
          <w:i/>
          <w:iCs/>
        </w:rPr>
        <w:t>восстановленные образцы хранить при температуре (2–8)°С не более 7 суток. Допускается однократное замораживание и хранение образцов при температуре минус (18</w:t>
      </w:r>
      <w:r w:rsidR="00D325A2" w:rsidRPr="00F65ECD">
        <w:rPr>
          <w:rFonts w:eastAsia="Times New Roman"/>
          <w:i/>
          <w:iCs/>
        </w:rPr>
        <w:t>-</w:t>
      </w:r>
      <w:r w:rsidRPr="00F65ECD">
        <w:rPr>
          <w:rFonts w:eastAsia="Times New Roman"/>
          <w:i/>
          <w:iCs/>
        </w:rPr>
        <w:t>40)°С не более 1 месяца. Повторное замораживание не допускается.</w:t>
      </w:r>
      <w:r w:rsidRPr="00F65ECD">
        <w:rPr>
          <w:rFonts w:eastAsia="Times New Roman"/>
        </w:rPr>
        <w:t xml:space="preserve"> Для восстановления и аликвотирования образцов </w:t>
      </w:r>
      <w:r w:rsidR="0092773F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 xml:space="preserve"> используйте только одноразовые наконечники, чтобы избежать контаминации образцов. </w:t>
      </w:r>
    </w:p>
    <w:p w14:paraId="0AA1A3C5" w14:textId="2C31F420" w:rsidR="00831E86" w:rsidRPr="00F65ECD" w:rsidRDefault="00274187" w:rsidP="007D343B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Проведите анализ согласно инструкции </w:t>
      </w:r>
      <w:r w:rsidR="00A22CFF" w:rsidRPr="00F65ECD">
        <w:rPr>
          <w:rFonts w:eastAsia="Times New Roman"/>
        </w:rPr>
        <w:t>по</w:t>
      </w:r>
      <w:r w:rsidRPr="00F65ECD">
        <w:rPr>
          <w:rFonts w:eastAsia="Times New Roman"/>
        </w:rPr>
        <w:t xml:space="preserve"> применению набор</w:t>
      </w:r>
      <w:r w:rsidR="00DB6356" w:rsidRPr="00F65ECD">
        <w:rPr>
          <w:rFonts w:eastAsia="Times New Roman"/>
        </w:rPr>
        <w:t>а</w:t>
      </w:r>
      <w:r w:rsidRPr="00F65ECD">
        <w:rPr>
          <w:rFonts w:eastAsia="Times New Roman"/>
        </w:rPr>
        <w:t xml:space="preserve"> реагентов </w:t>
      </w:r>
      <w:r w:rsidR="006D7E1F" w:rsidRPr="00F65ECD">
        <w:rPr>
          <w:rFonts w:eastAsia="Times New Roman"/>
        </w:rPr>
        <w:t>(</w:t>
      </w:r>
      <w:r w:rsidRPr="00F65ECD">
        <w:rPr>
          <w:rFonts w:eastAsia="Times New Roman"/>
        </w:rPr>
        <w:t xml:space="preserve">«Вектогеп В – </w:t>
      </w:r>
      <w:r w:rsidRPr="00F65ECD">
        <w:rPr>
          <w:rFonts w:eastAsia="Times New Roman"/>
          <w:lang w:val="en-US"/>
        </w:rPr>
        <w:t>HBs</w:t>
      </w:r>
      <w:r w:rsidRPr="00F65ECD">
        <w:rPr>
          <w:rFonts w:eastAsia="Times New Roman"/>
        </w:rPr>
        <w:t>-антиген», «Бест анти-ВГС»</w:t>
      </w:r>
      <w:r w:rsidR="00A22CFF" w:rsidRPr="00F65ECD">
        <w:rPr>
          <w:rFonts w:eastAsia="Times New Roman"/>
        </w:rPr>
        <w:t xml:space="preserve"> и</w:t>
      </w:r>
      <w:r w:rsidR="006D7E1F" w:rsidRPr="00F65ECD">
        <w:rPr>
          <w:rFonts w:eastAsia="Times New Roman"/>
        </w:rPr>
        <w:t>ли</w:t>
      </w:r>
      <w:r w:rsidR="00A22CFF" w:rsidRPr="00F65ECD">
        <w:rPr>
          <w:rFonts w:eastAsia="Times New Roman"/>
        </w:rPr>
        <w:t xml:space="preserve"> </w:t>
      </w:r>
      <w:r w:rsidR="00DB6356" w:rsidRPr="00F65ECD">
        <w:rPr>
          <w:rFonts w:eastAsia="Times New Roman"/>
        </w:rPr>
        <w:t>«РекомбиБест антипаллидум-суммарные антитела»</w:t>
      </w:r>
      <w:r w:rsidR="00A56F82">
        <w:rPr>
          <w:rFonts w:eastAsia="Times New Roman"/>
        </w:rPr>
        <w:t xml:space="preserve">, </w:t>
      </w:r>
      <w:r w:rsidR="00A56F82" w:rsidRPr="009033D8">
        <w:rPr>
          <w:rFonts w:eastAsia="Times New Roman"/>
        </w:rPr>
        <w:t>«</w:t>
      </w:r>
      <w:r w:rsidR="00A56F82" w:rsidRPr="004D0F4A">
        <w:rPr>
          <w:rFonts w:eastAsia="Times New Roman"/>
        </w:rPr>
        <w:t>КомбиБест ВИЧ-1,2 АГ/АТ</w:t>
      </w:r>
      <w:r w:rsidR="00A56F82" w:rsidRPr="009033D8">
        <w:rPr>
          <w:rFonts w:eastAsia="Times New Roman"/>
        </w:rPr>
        <w:t>»</w:t>
      </w:r>
      <w:r w:rsidR="006D7E1F" w:rsidRPr="00F65ECD">
        <w:rPr>
          <w:rFonts w:eastAsia="Times New Roman"/>
        </w:rPr>
        <w:t>)</w:t>
      </w:r>
      <w:r w:rsidRPr="00F65ECD">
        <w:rPr>
          <w:rFonts w:eastAsia="Times New Roman"/>
        </w:rPr>
        <w:t xml:space="preserve">. Напоминаем, что </w:t>
      </w:r>
      <w:r w:rsidR="00FC409C" w:rsidRPr="00F65ECD">
        <w:rPr>
          <w:rFonts w:eastAsia="Times New Roman"/>
        </w:rPr>
        <w:t xml:space="preserve">контрольные материалы </w:t>
      </w:r>
      <w:r w:rsidRPr="00F65ECD">
        <w:rPr>
          <w:rFonts w:eastAsia="Times New Roman"/>
        </w:rPr>
        <w:t>МИНИпол</w:t>
      </w:r>
      <w:r w:rsidR="00990011" w:rsidRPr="00F65ECD">
        <w:rPr>
          <w:rFonts w:eastAsia="Times New Roman"/>
        </w:rPr>
        <w:t xml:space="preserve"> и ОДС</w:t>
      </w:r>
      <w:r w:rsidRPr="00F65ECD">
        <w:rPr>
          <w:rFonts w:eastAsia="Times New Roman"/>
        </w:rPr>
        <w:t xml:space="preserve"> внос</w:t>
      </w:r>
      <w:r w:rsidR="00990011" w:rsidRPr="00F65ECD">
        <w:rPr>
          <w:rFonts w:eastAsia="Times New Roman"/>
        </w:rPr>
        <w:t>я</w:t>
      </w:r>
      <w:r w:rsidRPr="00F65ECD">
        <w:rPr>
          <w:rFonts w:eastAsia="Times New Roman"/>
        </w:rPr>
        <w:t xml:space="preserve">тся </w:t>
      </w:r>
      <w:r w:rsidR="00FC409C" w:rsidRPr="00F65ECD">
        <w:rPr>
          <w:rFonts w:eastAsia="Times New Roman"/>
        </w:rPr>
        <w:t>по одной лунке</w:t>
      </w:r>
      <w:r w:rsidRPr="00F65ECD">
        <w:rPr>
          <w:rFonts w:eastAsia="Times New Roman"/>
        </w:rPr>
        <w:t xml:space="preserve">. </w:t>
      </w:r>
      <w:r w:rsidR="001242F4" w:rsidRPr="00F65ECD">
        <w:rPr>
          <w:rFonts w:eastAsia="Times New Roman"/>
        </w:rPr>
        <w:t xml:space="preserve">Для наборов реагентов «Вектогеп В – </w:t>
      </w:r>
      <w:r w:rsidR="001242F4" w:rsidRPr="00F65ECD">
        <w:rPr>
          <w:rFonts w:eastAsia="Times New Roman"/>
          <w:lang w:val="en-US"/>
        </w:rPr>
        <w:t>HBs</w:t>
      </w:r>
      <w:r w:rsidR="001242F4" w:rsidRPr="00F65ECD">
        <w:rPr>
          <w:rFonts w:eastAsia="Times New Roman"/>
        </w:rPr>
        <w:t>-антиген»</w:t>
      </w:r>
      <w:r w:rsidR="00F561C7">
        <w:rPr>
          <w:rFonts w:eastAsia="Times New Roman"/>
        </w:rPr>
        <w:t xml:space="preserve">, </w:t>
      </w:r>
      <w:r w:rsidR="001242F4" w:rsidRPr="00F65ECD">
        <w:rPr>
          <w:rFonts w:eastAsia="Times New Roman"/>
        </w:rPr>
        <w:t xml:space="preserve">«Бест анти-ВГС» </w:t>
      </w:r>
      <w:r w:rsidR="00F561C7">
        <w:rPr>
          <w:rFonts w:eastAsia="Times New Roman"/>
        </w:rPr>
        <w:t xml:space="preserve">и </w:t>
      </w:r>
      <w:r w:rsidR="00F561C7" w:rsidRPr="009033D8">
        <w:rPr>
          <w:rFonts w:eastAsia="Times New Roman"/>
        </w:rPr>
        <w:t>«</w:t>
      </w:r>
      <w:r w:rsidR="00F561C7" w:rsidRPr="004D0F4A">
        <w:rPr>
          <w:rFonts w:eastAsia="Times New Roman"/>
        </w:rPr>
        <w:t>КомбиБест ВИЧ-1,2 АГ/АТ</w:t>
      </w:r>
      <w:r w:rsidR="00F561C7" w:rsidRPr="009033D8">
        <w:rPr>
          <w:rFonts w:eastAsia="Times New Roman"/>
        </w:rPr>
        <w:t xml:space="preserve">» </w:t>
      </w:r>
      <w:r w:rsidR="001242F4" w:rsidRPr="00F65ECD">
        <w:rPr>
          <w:rFonts w:eastAsia="Times New Roman"/>
        </w:rPr>
        <w:t>и</w:t>
      </w:r>
      <w:r w:rsidRPr="00F65ECD">
        <w:rPr>
          <w:rFonts w:eastAsia="Times New Roman"/>
        </w:rPr>
        <w:t>спользуйте режим инкубации (процедуру 1 или 2 согласно инструкциям к наборам), принятый в Вашей лаборатории.</w:t>
      </w:r>
    </w:p>
    <w:p w14:paraId="761480F9" w14:textId="6C118A4D" w:rsidR="00831E86" w:rsidRPr="00F65ECD" w:rsidRDefault="00274187" w:rsidP="007D343B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После анализа вычислите среднюю оптическую плотность </w:t>
      </w:r>
      <w:r w:rsidR="00F74D8D" w:rsidRPr="00F65ECD">
        <w:rPr>
          <w:rFonts w:eastAsia="Times New Roman"/>
        </w:rPr>
        <w:t xml:space="preserve">отрицательного контрольного образца </w:t>
      </w:r>
      <w:r w:rsidRPr="00F65ECD">
        <w:rPr>
          <w:rFonts w:eastAsia="Times New Roman"/>
        </w:rPr>
        <w:t xml:space="preserve">К- (ОП К-ср). </w:t>
      </w:r>
    </w:p>
    <w:p w14:paraId="7AA18601" w14:textId="009D11C9" w:rsidR="00604E93" w:rsidRPr="00F65ECD" w:rsidRDefault="00274187" w:rsidP="0011556D">
      <w:pPr>
        <w:numPr>
          <w:ilvl w:val="0"/>
          <w:numId w:val="1"/>
        </w:numPr>
        <w:spacing w:before="120" w:after="100" w:afterAutospacing="1" w:line="360" w:lineRule="auto"/>
        <w:ind w:left="709"/>
        <w:jc w:val="both"/>
      </w:pPr>
      <w:r w:rsidRPr="00F65ECD">
        <w:rPr>
          <w:rFonts w:eastAsia="Times New Roman"/>
        </w:rPr>
        <w:t xml:space="preserve">Войдите с помощью логина и пароля на сайт </w:t>
      </w:r>
      <w:hyperlink r:id="rId10" w:history="1">
        <w:r w:rsidRPr="00F65ECD">
          <w:rPr>
            <w:rStyle w:val="a6"/>
            <w:rFonts w:eastAsia="Times New Roman"/>
          </w:rPr>
          <w:t>www.vector-best.ru</w:t>
        </w:r>
      </w:hyperlink>
      <w:r w:rsidRPr="00F65ECD">
        <w:rPr>
          <w:rFonts w:eastAsia="Times New Roman"/>
        </w:rPr>
        <w:t xml:space="preserve">, а далее в раздел «Личный кабинет </w:t>
      </w:r>
      <w:r w:rsidR="003342B0" w:rsidRPr="00F65ECD">
        <w:rPr>
          <w:rFonts w:eastAsia="Times New Roman"/>
        </w:rPr>
        <w:t>участника П</w:t>
      </w:r>
      <w:r w:rsidRPr="00F65ECD">
        <w:rPr>
          <w:rFonts w:eastAsia="Times New Roman"/>
        </w:rPr>
        <w:t xml:space="preserve">рограммы межлабораторных сличений «Вместе», выберите иммунологический маркер </w:t>
      </w:r>
      <w:r w:rsidR="000B5349" w:rsidRPr="00F65ECD">
        <w:rPr>
          <w:rFonts w:eastAsia="Times New Roman"/>
        </w:rPr>
        <w:t>–</w:t>
      </w:r>
      <w:r w:rsidRPr="00F65ECD">
        <w:rPr>
          <w:rFonts w:eastAsia="Times New Roman"/>
        </w:rPr>
        <w:t xml:space="preserve"> HBsAg, анти-ВГС</w:t>
      </w:r>
      <w:r w:rsidR="00FF040A">
        <w:rPr>
          <w:rFonts w:eastAsia="Times New Roman"/>
        </w:rPr>
        <w:t xml:space="preserve">, </w:t>
      </w:r>
      <w:r w:rsidR="009041D3" w:rsidRPr="00F65ECD">
        <w:t>анти-Tr.Pallidum</w:t>
      </w:r>
      <w:r w:rsidR="00FF040A">
        <w:t xml:space="preserve"> </w:t>
      </w:r>
      <w:r w:rsidR="00FF040A" w:rsidRPr="00F65ECD">
        <w:rPr>
          <w:rFonts w:eastAsia="Times New Roman"/>
        </w:rPr>
        <w:t>или</w:t>
      </w:r>
      <w:r w:rsidR="00FF040A">
        <w:rPr>
          <w:rFonts w:eastAsia="Times New Roman"/>
        </w:rPr>
        <w:t xml:space="preserve">     анти-ВИЧ-1</w:t>
      </w:r>
      <w:r w:rsidRPr="00F65ECD">
        <w:rPr>
          <w:rFonts w:eastAsia="Times New Roman"/>
        </w:rPr>
        <w:t xml:space="preserve">. После выбора иммунологического маркера Вам загружается форма протокола для заполнения на текущую дату, нужно внести </w:t>
      </w:r>
      <w:r w:rsidR="00D83BA1">
        <w:rPr>
          <w:rFonts w:eastAsia="Times New Roman"/>
        </w:rPr>
        <w:t xml:space="preserve">данные о наборе реагентов, контрольном метериале и </w:t>
      </w:r>
      <w:r w:rsidRPr="00F65ECD">
        <w:rPr>
          <w:rFonts w:eastAsia="Times New Roman"/>
        </w:rPr>
        <w:t xml:space="preserve">полученные результаты и нажать кнопку </w:t>
      </w:r>
      <w:r w:rsidRPr="00F65ECD">
        <w:rPr>
          <w:rFonts w:eastAsia="Times New Roman"/>
        </w:rPr>
        <w:lastRenderedPageBreak/>
        <w:t xml:space="preserve">«Сохранить». Для введения результатов на другую дату выберите нужную «Дату исследования» в календаре и кликните серую кнопку «Получить протокол». Страница перезагрузится, и отобразятся пустые или заполненные (если вы их заполняли ранее) поля протокола. Внесите в соответствующие поля </w:t>
      </w:r>
      <w:r w:rsidR="00E91055" w:rsidRPr="00F65ECD">
        <w:rPr>
          <w:rFonts w:eastAsia="Times New Roman"/>
        </w:rPr>
        <w:t xml:space="preserve">из выпадающего списка </w:t>
      </w:r>
      <w:r w:rsidRPr="00F65ECD">
        <w:rPr>
          <w:rFonts w:eastAsia="Times New Roman"/>
        </w:rPr>
        <w:t xml:space="preserve">каталожный номер набора реагентов, </w:t>
      </w:r>
      <w:r w:rsidR="00F31B6A" w:rsidRPr="00F65ECD">
        <w:rPr>
          <w:rFonts w:eastAsia="Times New Roman"/>
        </w:rPr>
        <w:t>№</w:t>
      </w:r>
      <w:r w:rsidRPr="00F65ECD">
        <w:rPr>
          <w:rFonts w:eastAsia="Times New Roman"/>
        </w:rPr>
        <w:t xml:space="preserve"> серии набора реагентов, выберите процедуру проведения ИФА</w:t>
      </w:r>
      <w:r w:rsidR="00834FB2" w:rsidRPr="00F65ECD">
        <w:rPr>
          <w:rStyle w:val="af1"/>
          <w:rFonts w:eastAsia="Times New Roman"/>
        </w:rPr>
        <w:footnoteReference w:id="3"/>
      </w:r>
      <w:r w:rsidRPr="00F65ECD">
        <w:rPr>
          <w:rFonts w:eastAsia="Times New Roman"/>
        </w:rPr>
        <w:t xml:space="preserve">, </w:t>
      </w:r>
      <w:r w:rsidR="00AE45D0" w:rsidRPr="00B83F25">
        <w:rPr>
          <w:rFonts w:eastAsia="Times New Roman"/>
        </w:rPr>
        <w:t>укажите дату вскрытия пакета с иммуносорбентом</w:t>
      </w:r>
      <w:bookmarkStart w:id="3" w:name="_Ref159318995"/>
      <w:r w:rsidR="004E56BA">
        <w:rPr>
          <w:rStyle w:val="af1"/>
          <w:rFonts w:eastAsia="Times New Roman"/>
        </w:rPr>
        <w:footnoteReference w:id="4"/>
      </w:r>
      <w:bookmarkEnd w:id="3"/>
      <w:r w:rsidR="00AE45D0" w:rsidRPr="00B83F25">
        <w:rPr>
          <w:rFonts w:eastAsia="Times New Roman"/>
        </w:rPr>
        <w:t>, дату восстановления конъюгата №1</w:t>
      </w:r>
      <w:r w:rsidR="004E56BA" w:rsidRPr="00693D54">
        <w:rPr>
          <w:rFonts w:eastAsia="Times New Roman"/>
          <w:vertAlign w:val="superscript"/>
        </w:rPr>
        <w:fldChar w:fldCharType="begin"/>
      </w:r>
      <w:r w:rsidR="004E56BA" w:rsidRPr="00693D54">
        <w:rPr>
          <w:rFonts w:eastAsia="Times New Roman"/>
          <w:vertAlign w:val="superscript"/>
        </w:rPr>
        <w:instrText xml:space="preserve"> NOTEREF _Ref159318995 \h </w:instrText>
      </w:r>
      <w:r w:rsidR="004E56BA" w:rsidRPr="00693D54">
        <w:rPr>
          <w:rFonts w:eastAsia="Times New Roman"/>
          <w:vertAlign w:val="superscript"/>
        </w:rPr>
      </w:r>
      <w:r w:rsidR="00693D54">
        <w:rPr>
          <w:rFonts w:eastAsia="Times New Roman"/>
          <w:vertAlign w:val="superscript"/>
        </w:rPr>
        <w:instrText xml:space="preserve"> \* MERGEFORMAT </w:instrText>
      </w:r>
      <w:r w:rsidR="004E56BA" w:rsidRPr="00693D54">
        <w:rPr>
          <w:rFonts w:eastAsia="Times New Roman"/>
          <w:vertAlign w:val="superscript"/>
        </w:rPr>
        <w:fldChar w:fldCharType="separate"/>
      </w:r>
      <w:r w:rsidR="004E56BA" w:rsidRPr="00693D54">
        <w:rPr>
          <w:rFonts w:eastAsia="Times New Roman"/>
          <w:vertAlign w:val="superscript"/>
        </w:rPr>
        <w:t>4</w:t>
      </w:r>
      <w:r w:rsidR="004E56BA" w:rsidRPr="00693D54">
        <w:rPr>
          <w:rFonts w:eastAsia="Times New Roman"/>
          <w:vertAlign w:val="superscript"/>
        </w:rPr>
        <w:fldChar w:fldCharType="end"/>
      </w:r>
      <w:r w:rsidR="00AE45D0" w:rsidRPr="00B83F25">
        <w:rPr>
          <w:rFonts w:eastAsia="Times New Roman"/>
        </w:rPr>
        <w:t xml:space="preserve">, </w:t>
      </w:r>
      <w:r w:rsidR="00AE45D0">
        <w:rPr>
          <w:rFonts w:eastAsia="Times New Roman"/>
        </w:rPr>
        <w:t>д</w:t>
      </w:r>
      <w:r w:rsidR="00AE45D0" w:rsidRPr="00B83F25">
        <w:rPr>
          <w:rFonts w:eastAsia="Times New Roman"/>
        </w:rPr>
        <w:t>ат</w:t>
      </w:r>
      <w:r w:rsidR="00AE45D0">
        <w:rPr>
          <w:rFonts w:eastAsia="Times New Roman"/>
        </w:rPr>
        <w:t>у</w:t>
      </w:r>
      <w:r w:rsidR="00AE45D0" w:rsidRPr="00B83F25">
        <w:rPr>
          <w:rFonts w:eastAsia="Times New Roman"/>
        </w:rPr>
        <w:t xml:space="preserve"> восстановления конъюгата №2</w:t>
      </w:r>
      <w:r w:rsidR="004E56BA" w:rsidRPr="004E56BA">
        <w:rPr>
          <w:rFonts w:eastAsia="Times New Roman"/>
          <w:vertAlign w:val="superscript"/>
        </w:rPr>
        <w:fldChar w:fldCharType="begin"/>
      </w:r>
      <w:r w:rsidR="004E56BA" w:rsidRPr="004E56BA">
        <w:rPr>
          <w:rFonts w:eastAsia="Times New Roman"/>
          <w:vertAlign w:val="superscript"/>
        </w:rPr>
        <w:instrText xml:space="preserve"> NOTEREF _Ref159318995 \h </w:instrText>
      </w:r>
      <w:r w:rsidR="004E56BA" w:rsidRPr="004E56BA">
        <w:rPr>
          <w:rFonts w:eastAsia="Times New Roman"/>
          <w:vertAlign w:val="superscript"/>
        </w:rPr>
      </w:r>
      <w:r w:rsidR="004E56BA">
        <w:rPr>
          <w:rFonts w:eastAsia="Times New Roman"/>
          <w:vertAlign w:val="superscript"/>
        </w:rPr>
        <w:instrText xml:space="preserve"> \* MERGEFORMAT </w:instrText>
      </w:r>
      <w:r w:rsidR="004E56BA" w:rsidRPr="004E56BA">
        <w:rPr>
          <w:rFonts w:eastAsia="Times New Roman"/>
          <w:vertAlign w:val="superscript"/>
        </w:rPr>
        <w:fldChar w:fldCharType="separate"/>
      </w:r>
      <w:r w:rsidR="004E56BA" w:rsidRPr="004E56BA">
        <w:rPr>
          <w:rFonts w:eastAsia="Times New Roman"/>
          <w:vertAlign w:val="superscript"/>
        </w:rPr>
        <w:t>4</w:t>
      </w:r>
      <w:r w:rsidR="004E56BA" w:rsidRPr="004E56BA">
        <w:rPr>
          <w:rFonts w:eastAsia="Times New Roman"/>
          <w:vertAlign w:val="superscript"/>
        </w:rPr>
        <w:fldChar w:fldCharType="end"/>
      </w:r>
      <w:r w:rsidR="00AE45D0">
        <w:rPr>
          <w:rFonts w:eastAsia="Times New Roman"/>
        </w:rPr>
        <w:t xml:space="preserve">, </w:t>
      </w:r>
      <w:r w:rsidR="00AE45D0" w:rsidRPr="00B83F25">
        <w:rPr>
          <w:rFonts w:eastAsia="Times New Roman"/>
        </w:rPr>
        <w:t xml:space="preserve">выберите </w:t>
      </w:r>
      <w:r w:rsidRPr="00F65ECD">
        <w:rPr>
          <w:rFonts w:eastAsia="Times New Roman"/>
        </w:rPr>
        <w:t xml:space="preserve">условия регистрации результатов ИФА, укажите </w:t>
      </w:r>
      <w:r w:rsidR="00087EFC" w:rsidRPr="00F65ECD">
        <w:rPr>
          <w:rFonts w:eastAsia="Times New Roman"/>
        </w:rPr>
        <w:t xml:space="preserve">рассчитанную Вами </w:t>
      </w:r>
      <w:r w:rsidRPr="00F65ECD">
        <w:rPr>
          <w:rFonts w:eastAsia="Times New Roman"/>
        </w:rPr>
        <w:t xml:space="preserve">среднюю </w:t>
      </w:r>
      <w:r w:rsidR="00A50430" w:rsidRPr="00F65ECD">
        <w:rPr>
          <w:rFonts w:eastAsia="Times New Roman"/>
        </w:rPr>
        <w:t>опти</w:t>
      </w:r>
      <w:r w:rsidR="004B14B0" w:rsidRPr="00F65ECD">
        <w:rPr>
          <w:rFonts w:eastAsia="Times New Roman"/>
        </w:rPr>
        <w:t xml:space="preserve">ческую плотность отрицательного контроля </w:t>
      </w:r>
      <w:r w:rsidRPr="00F65ECD">
        <w:rPr>
          <w:rFonts w:eastAsia="Times New Roman"/>
        </w:rPr>
        <w:t xml:space="preserve">(ОП К-ср), </w:t>
      </w:r>
      <w:r w:rsidR="008A55F5" w:rsidRPr="00F65ECD">
        <w:rPr>
          <w:rFonts w:eastAsia="Times New Roman"/>
        </w:rPr>
        <w:t>оптическую плотность положительного контроля</w:t>
      </w:r>
      <w:r w:rsidR="001418BB">
        <w:rPr>
          <w:rFonts w:eastAsia="Times New Roman"/>
        </w:rPr>
        <w:t>(ей)</w:t>
      </w:r>
      <w:r w:rsidR="008A55F5" w:rsidRPr="00F65ECD">
        <w:rPr>
          <w:rFonts w:eastAsia="Times New Roman"/>
        </w:rPr>
        <w:t xml:space="preserve"> </w:t>
      </w:r>
      <w:r w:rsidR="00113B28" w:rsidRPr="00F65ECD">
        <w:rPr>
          <w:rFonts w:eastAsia="Times New Roman"/>
        </w:rPr>
        <w:t>(ОП</w:t>
      </w:r>
      <w:r w:rsidR="00D84760" w:rsidRPr="00F65ECD">
        <w:rPr>
          <w:rFonts w:eastAsia="Times New Roman"/>
        </w:rPr>
        <w:t> </w:t>
      </w:r>
      <w:r w:rsidR="008A55F5" w:rsidRPr="00F65ECD">
        <w:rPr>
          <w:rFonts w:eastAsia="Times New Roman"/>
        </w:rPr>
        <w:t>К+</w:t>
      </w:r>
      <w:r w:rsidR="00113B28" w:rsidRPr="00F65ECD">
        <w:rPr>
          <w:rFonts w:eastAsia="Times New Roman"/>
        </w:rPr>
        <w:t>)</w:t>
      </w:r>
      <w:r w:rsidR="00542DD8" w:rsidRPr="00F65ECD">
        <w:rPr>
          <w:rStyle w:val="af1"/>
          <w:rFonts w:eastAsia="Times New Roman"/>
        </w:rPr>
        <w:footnoteReference w:id="5"/>
      </w:r>
      <w:r w:rsidR="00D72C7B" w:rsidRPr="00F65ECD">
        <w:rPr>
          <w:rFonts w:eastAsia="Times New Roman"/>
        </w:rPr>
        <w:t xml:space="preserve">, </w:t>
      </w:r>
      <w:r w:rsidRPr="00F65ECD">
        <w:rPr>
          <w:rFonts w:eastAsia="Times New Roman"/>
        </w:rPr>
        <w:t xml:space="preserve">выберите </w:t>
      </w:r>
      <w:r w:rsidR="00D84760" w:rsidRPr="00F65ECD">
        <w:rPr>
          <w:rFonts w:eastAsia="Times New Roman"/>
        </w:rPr>
        <w:t xml:space="preserve">используемый Вами </w:t>
      </w:r>
      <w:r w:rsidR="00F20E88">
        <w:rPr>
          <w:rFonts w:eastAsia="Times New Roman"/>
        </w:rPr>
        <w:t xml:space="preserve">вариант </w:t>
      </w:r>
      <w:r w:rsidR="0049143C" w:rsidRPr="00F65ECD">
        <w:rPr>
          <w:rFonts w:eastAsia="Times New Roman"/>
        </w:rPr>
        <w:t>МИНИпол</w:t>
      </w:r>
      <w:r w:rsidR="008D58FF" w:rsidRPr="00F65ECD">
        <w:rPr>
          <w:rStyle w:val="af1"/>
          <w:rFonts w:eastAsia="Times New Roman"/>
        </w:rPr>
        <w:footnoteReference w:id="6"/>
      </w:r>
      <w:r w:rsidR="005F613D" w:rsidRPr="00F65ECD">
        <w:rPr>
          <w:rFonts w:eastAsia="Times New Roman"/>
        </w:rPr>
        <w:t xml:space="preserve"> </w:t>
      </w:r>
      <w:r w:rsidRPr="00F65ECD">
        <w:rPr>
          <w:rFonts w:eastAsia="Times New Roman"/>
        </w:rPr>
        <w:t xml:space="preserve">из выпадающего списка, укажите </w:t>
      </w:r>
      <w:r w:rsidR="00C41797" w:rsidRPr="00F65ECD">
        <w:rPr>
          <w:rFonts w:eastAsia="Times New Roman"/>
        </w:rPr>
        <w:t>№</w:t>
      </w:r>
      <w:r w:rsidRPr="00F65ECD">
        <w:rPr>
          <w:rFonts w:eastAsia="Times New Roman"/>
        </w:rPr>
        <w:t xml:space="preserve"> серии</w:t>
      </w:r>
      <w:r w:rsidR="000F745F" w:rsidRPr="00F65ECD">
        <w:rPr>
          <w:rFonts w:eastAsia="Times New Roman"/>
        </w:rPr>
        <w:t xml:space="preserve"> </w:t>
      </w:r>
      <w:r w:rsidR="00113B28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>, дату восстановления/вскрытия</w:t>
      </w:r>
      <w:r w:rsidR="00113B28" w:rsidRPr="00F65ECD">
        <w:rPr>
          <w:rFonts w:eastAsia="Times New Roman"/>
        </w:rPr>
        <w:t xml:space="preserve"> </w:t>
      </w:r>
      <w:r w:rsidR="00D84760" w:rsidRPr="00F65ECD">
        <w:rPr>
          <w:rFonts w:eastAsia="Times New Roman"/>
        </w:rPr>
        <w:t xml:space="preserve">и </w:t>
      </w:r>
      <w:r w:rsidRPr="00F65ECD">
        <w:rPr>
          <w:rFonts w:eastAsia="Times New Roman"/>
        </w:rPr>
        <w:t xml:space="preserve">полученное значение </w:t>
      </w:r>
      <w:r w:rsidR="00D84760" w:rsidRPr="00F65ECD">
        <w:rPr>
          <w:rFonts w:eastAsia="Times New Roman"/>
        </w:rPr>
        <w:t>оптической плотности МИНИпол (</w:t>
      </w:r>
      <w:r w:rsidRPr="00F65ECD">
        <w:rPr>
          <w:rFonts w:eastAsia="Times New Roman"/>
        </w:rPr>
        <w:t>ОП МИНИпол</w:t>
      </w:r>
      <w:r w:rsidR="00D84760" w:rsidRPr="00F65ECD">
        <w:rPr>
          <w:rFonts w:eastAsia="Times New Roman"/>
        </w:rPr>
        <w:t>)</w:t>
      </w:r>
      <w:r w:rsidRPr="00F65ECD">
        <w:rPr>
          <w:rFonts w:eastAsia="Times New Roman"/>
        </w:rPr>
        <w:t xml:space="preserve">. </w:t>
      </w:r>
      <w:r w:rsidRPr="00F65ECD">
        <w:rPr>
          <w:b/>
          <w:bCs/>
        </w:rPr>
        <w:t xml:space="preserve">Все </w:t>
      </w:r>
      <w:r w:rsidR="00461C0E" w:rsidRPr="00F65ECD">
        <w:rPr>
          <w:b/>
          <w:bCs/>
        </w:rPr>
        <w:t xml:space="preserve">перечисленные </w:t>
      </w:r>
      <w:r w:rsidRPr="00F65ECD">
        <w:rPr>
          <w:b/>
          <w:bCs/>
        </w:rPr>
        <w:t>поля протокола обязательны для заполнения!</w:t>
      </w:r>
    </w:p>
    <w:p w14:paraId="57705AD3" w14:textId="3127A53E" w:rsidR="0011556D" w:rsidRPr="00F65ECD" w:rsidRDefault="003E1026" w:rsidP="0011556D">
      <w:pPr>
        <w:numPr>
          <w:ilvl w:val="0"/>
          <w:numId w:val="1"/>
        </w:numPr>
        <w:spacing w:before="120" w:after="100" w:afterAutospacing="1" w:line="360" w:lineRule="auto"/>
        <w:ind w:left="709"/>
        <w:jc w:val="both"/>
      </w:pPr>
      <w:r w:rsidRPr="00F65ECD">
        <w:t xml:space="preserve">Поля протокола </w:t>
      </w:r>
      <w:r w:rsidR="00E41A95" w:rsidRPr="00F65ECD">
        <w:t xml:space="preserve">для </w:t>
      </w:r>
      <w:r w:rsidRPr="00F65ECD">
        <w:t>ОДС</w:t>
      </w:r>
      <w:r w:rsidR="00E41A95" w:rsidRPr="00F65ECD">
        <w:t xml:space="preserve"> (</w:t>
      </w:r>
      <w:r w:rsidR="00C86635" w:rsidRPr="00F65ECD">
        <w:rPr>
          <w:rFonts w:eastAsia="Times New Roman"/>
        </w:rPr>
        <w:t>№</w:t>
      </w:r>
      <w:r w:rsidR="00C30198" w:rsidRPr="00F65ECD">
        <w:rPr>
          <w:rFonts w:eastAsia="Times New Roman"/>
        </w:rPr>
        <w:t xml:space="preserve"> серии ОДС, дата восстановления/вскрытия </w:t>
      </w:r>
      <w:r w:rsidR="00C86635" w:rsidRPr="00F65ECD">
        <w:rPr>
          <w:rFonts w:eastAsia="Times New Roman"/>
        </w:rPr>
        <w:t xml:space="preserve">ОДС </w:t>
      </w:r>
      <w:r w:rsidR="00C30198" w:rsidRPr="00F65ECD">
        <w:rPr>
          <w:rFonts w:eastAsia="Times New Roman"/>
        </w:rPr>
        <w:t>и значение оптической плотности ОДС (ОП ОДС)</w:t>
      </w:r>
      <w:r w:rsidR="00E41A95" w:rsidRPr="00F65ECD">
        <w:t>)</w:t>
      </w:r>
      <w:r w:rsidRPr="00F65ECD">
        <w:t xml:space="preserve"> </w:t>
      </w:r>
      <w:r w:rsidR="00E41A95" w:rsidRPr="00F65ECD">
        <w:t>можно оставлять свободными.</w:t>
      </w:r>
      <w:r w:rsidRPr="00F65ECD">
        <w:t xml:space="preserve"> </w:t>
      </w:r>
      <w:r w:rsidR="00A013AC" w:rsidRPr="00A013AC">
        <w:t>Однако, для комплексной оценки аналитической надежности исследования необходимо проводить постановку как минимального положительного контрольного образца МИНИпол, так и отрицательного контрольного материала ОДС</w:t>
      </w:r>
      <w:r w:rsidR="00AA0589" w:rsidRPr="00F65ECD">
        <w:t>.</w:t>
      </w:r>
      <w:r w:rsidR="00813646" w:rsidRPr="00F65ECD">
        <w:rPr>
          <w:rStyle w:val="af1"/>
        </w:rPr>
        <w:footnoteReference w:id="7"/>
      </w:r>
      <w:r w:rsidR="004A570C" w:rsidRPr="00F65ECD">
        <w:t xml:space="preserve"> </w:t>
      </w:r>
    </w:p>
    <w:p w14:paraId="628BD1A3" w14:textId="3B6D19FC" w:rsidR="00831E86" w:rsidRPr="00F65ECD" w:rsidRDefault="00274187" w:rsidP="00507769">
      <w:pPr>
        <w:numPr>
          <w:ilvl w:val="0"/>
          <w:numId w:val="2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>После заполнения всех полей нажмите серую кнопку «Сохранить», появится фраза: «Изменения успешно сохранены» и ссылк</w:t>
      </w:r>
      <w:r w:rsidR="00CF010E" w:rsidRPr="00F65ECD">
        <w:rPr>
          <w:rFonts w:eastAsia="Times New Roman"/>
        </w:rPr>
        <w:t>и</w:t>
      </w:r>
      <w:r w:rsidRPr="00F65ECD">
        <w:rPr>
          <w:rFonts w:eastAsia="Times New Roman"/>
        </w:rPr>
        <w:t xml:space="preserve"> «</w:t>
      </w:r>
      <w:r w:rsidR="003A7764" w:rsidRPr="00F65ECD">
        <w:rPr>
          <w:rFonts w:eastAsia="Times New Roman"/>
        </w:rPr>
        <w:t>Скачать диаграмму результатов исследования МИНИпол</w:t>
      </w:r>
      <w:r w:rsidR="005F3DE8" w:rsidRPr="00F65ECD">
        <w:rPr>
          <w:rFonts w:eastAsia="Times New Roman"/>
        </w:rPr>
        <w:t xml:space="preserve"> </w:t>
      </w:r>
      <w:r w:rsidR="003A7764" w:rsidRPr="00F65ECD">
        <w:rPr>
          <w:rFonts w:eastAsia="Times New Roman"/>
        </w:rPr>
        <w:t>за период</w:t>
      </w:r>
      <w:r w:rsidRPr="00F65ECD">
        <w:rPr>
          <w:rFonts w:eastAsia="Times New Roman"/>
        </w:rPr>
        <w:t>»</w:t>
      </w:r>
      <w:r w:rsidR="00460BB8" w:rsidRPr="00F65ECD">
        <w:rPr>
          <w:rFonts w:eastAsia="Times New Roman"/>
        </w:rPr>
        <w:t xml:space="preserve"> «Скачать диаграмму результатов исследования ОДС за период»</w:t>
      </w:r>
      <w:r w:rsidR="00460BB8" w:rsidRPr="00F65ECD">
        <w:rPr>
          <w:rStyle w:val="af1"/>
          <w:rFonts w:eastAsia="Times New Roman"/>
        </w:rPr>
        <w:footnoteReference w:id="8"/>
      </w:r>
      <w:r w:rsidRPr="00F65ECD">
        <w:rPr>
          <w:rFonts w:eastAsia="Times New Roman"/>
        </w:rPr>
        <w:t xml:space="preserve">. Пройдите по ссылке </w:t>
      </w:r>
      <w:r w:rsidR="00EA6E3C">
        <w:rPr>
          <w:rFonts w:eastAsia="Times New Roman"/>
        </w:rPr>
        <w:t xml:space="preserve">на </w:t>
      </w:r>
      <w:r w:rsidRPr="00F65ECD">
        <w:rPr>
          <w:rFonts w:eastAsia="Times New Roman"/>
        </w:rPr>
        <w:t>диаграмму</w:t>
      </w:r>
      <w:r w:rsidR="001B3A08" w:rsidRPr="00F65ECD">
        <w:rPr>
          <w:rFonts w:eastAsia="Times New Roman"/>
        </w:rPr>
        <w:t xml:space="preserve"> МИНИпол</w:t>
      </w:r>
      <w:r w:rsidR="006B61D3" w:rsidRPr="00F65ECD">
        <w:rPr>
          <w:rFonts w:eastAsia="Times New Roman"/>
        </w:rPr>
        <w:t xml:space="preserve"> и откройте её</w:t>
      </w:r>
      <w:r w:rsidRPr="00F65ECD">
        <w:rPr>
          <w:rFonts w:eastAsia="Times New Roman"/>
        </w:rPr>
        <w:t xml:space="preserve">. На диаграмме результатов исследований точкой синего цвета будет обозначен результат исследования МИНИпол в виде коэффициента позитивности (К поз = ОП МИНИпол / ОПкрит) в Вашей лаборатории среди результатов </w:t>
      </w:r>
      <w:r w:rsidRPr="00F65ECD">
        <w:rPr>
          <w:rFonts w:eastAsia="Times New Roman"/>
        </w:rPr>
        <w:lastRenderedPageBreak/>
        <w:t xml:space="preserve">исследования </w:t>
      </w:r>
      <w:r w:rsidR="00405464" w:rsidRPr="00F65ECD">
        <w:rPr>
          <w:rFonts w:eastAsia="Times New Roman"/>
        </w:rPr>
        <w:t>МИНИпол</w:t>
      </w:r>
      <w:r w:rsidRPr="00F65ECD">
        <w:rPr>
          <w:rFonts w:eastAsia="Times New Roman"/>
        </w:rPr>
        <w:t xml:space="preserve"> других лаборатори</w:t>
      </w:r>
      <w:r w:rsidR="00AA4465">
        <w:rPr>
          <w:rFonts w:eastAsia="Times New Roman"/>
        </w:rPr>
        <w:t>й</w:t>
      </w:r>
      <w:r w:rsidRPr="00F65ECD">
        <w:rPr>
          <w:rFonts w:eastAsia="Times New Roman"/>
        </w:rPr>
        <w:t xml:space="preserve">-участниц </w:t>
      </w:r>
      <w:r w:rsidR="0006549C" w:rsidRPr="00F65ECD">
        <w:rPr>
          <w:rFonts w:eastAsia="Times New Roman"/>
        </w:rPr>
        <w:t>Программы</w:t>
      </w:r>
      <w:r w:rsidRPr="00F65ECD">
        <w:rPr>
          <w:rFonts w:eastAsia="Times New Roman"/>
        </w:rPr>
        <w:t xml:space="preserve"> </w:t>
      </w:r>
      <w:r w:rsidR="003C74BF" w:rsidRPr="00F65ECD">
        <w:rPr>
          <w:rFonts w:eastAsia="Times New Roman"/>
        </w:rPr>
        <w:t>(точки серого цвета)</w:t>
      </w:r>
      <w:r w:rsidRPr="00F65ECD">
        <w:rPr>
          <w:rFonts w:eastAsia="Times New Roman"/>
        </w:rPr>
        <w:t xml:space="preserve">. </w:t>
      </w:r>
      <w:r w:rsidR="00EE76FB" w:rsidRPr="00F65ECD">
        <w:rPr>
          <w:rFonts w:eastAsia="Times New Roman"/>
        </w:rPr>
        <w:t>Красным цветом – результаты лаборатории сравнения (Отделени</w:t>
      </w:r>
      <w:r w:rsidR="00EC6E15" w:rsidRPr="00F65ECD">
        <w:rPr>
          <w:rFonts w:eastAsia="Times New Roman"/>
        </w:rPr>
        <w:t>я</w:t>
      </w:r>
      <w:r w:rsidR="00EE76FB" w:rsidRPr="00F65ECD">
        <w:rPr>
          <w:rFonts w:eastAsia="Times New Roman"/>
        </w:rPr>
        <w:t xml:space="preserve"> ИФА гепатита В, </w:t>
      </w:r>
      <w:r w:rsidR="00EC6E15" w:rsidRPr="00F65ECD">
        <w:rPr>
          <w:rFonts w:eastAsia="Times New Roman"/>
        </w:rPr>
        <w:t>ИФА гепатита С</w:t>
      </w:r>
      <w:r w:rsidR="00AA4465">
        <w:rPr>
          <w:rFonts w:eastAsia="Times New Roman"/>
        </w:rPr>
        <w:t xml:space="preserve">, </w:t>
      </w:r>
      <w:r w:rsidR="00EC6E15" w:rsidRPr="00F65ECD">
        <w:rPr>
          <w:rFonts w:eastAsia="Times New Roman"/>
        </w:rPr>
        <w:t xml:space="preserve">ИФА </w:t>
      </w:r>
      <w:r w:rsidR="00EE76FB" w:rsidRPr="00F65ECD">
        <w:rPr>
          <w:rFonts w:eastAsia="Times New Roman"/>
        </w:rPr>
        <w:t xml:space="preserve">сифилиса </w:t>
      </w:r>
      <w:r w:rsidR="00AA4465">
        <w:rPr>
          <w:rFonts w:eastAsia="Times New Roman"/>
        </w:rPr>
        <w:t xml:space="preserve">или </w:t>
      </w:r>
      <w:r w:rsidR="00265B64" w:rsidRPr="00ED32FC">
        <w:rPr>
          <w:rFonts w:eastAsia="Times New Roman"/>
        </w:rPr>
        <w:t xml:space="preserve">ИФА СПИД </w:t>
      </w:r>
      <w:r w:rsidR="00EE76FB" w:rsidRPr="00F65ECD">
        <w:rPr>
          <w:rFonts w:eastAsia="Times New Roman"/>
        </w:rPr>
        <w:t xml:space="preserve">АО «Вектор-Бест»). </w:t>
      </w:r>
      <w:r w:rsidRPr="00F65ECD">
        <w:rPr>
          <w:rFonts w:eastAsia="Times New Roman"/>
        </w:rPr>
        <w:t xml:space="preserve">Мы рекомендуем Вам каждый раз проводить визуальный контроль внесенных Вами значений по диаграмме. </w:t>
      </w:r>
      <w:r w:rsidR="00ED2366" w:rsidRPr="00F65ECD">
        <w:rPr>
          <w:rFonts w:eastAsia="Times New Roman"/>
        </w:rPr>
        <w:t>Если контрольный материал МИНИпол</w:t>
      </w:r>
      <w:r w:rsidR="00F30178" w:rsidRPr="00F65ECD">
        <w:rPr>
          <w:rFonts w:eastAsia="Times New Roman"/>
        </w:rPr>
        <w:t xml:space="preserve"> </w:t>
      </w:r>
      <w:r w:rsidR="00ED2366" w:rsidRPr="00F65ECD">
        <w:rPr>
          <w:rFonts w:eastAsia="Times New Roman"/>
        </w:rPr>
        <w:t xml:space="preserve">определяется как положительный, </w:t>
      </w:r>
      <w:r w:rsidR="00F30178" w:rsidRPr="00F65ECD">
        <w:rPr>
          <w:rFonts w:eastAsia="Times New Roman"/>
        </w:rPr>
        <w:t xml:space="preserve">а ОДС определяется как отрицательный, </w:t>
      </w:r>
      <w:r w:rsidR="00ED2366" w:rsidRPr="00F65ECD">
        <w:rPr>
          <w:rFonts w:eastAsia="Times New Roman"/>
        </w:rPr>
        <w:t xml:space="preserve">все результаты в данной аналитической серии принимаются. </w:t>
      </w:r>
      <w:r w:rsidR="00B7655A" w:rsidRPr="00F65ECD">
        <w:rPr>
          <w:rFonts w:eastAsia="Times New Roman"/>
        </w:rPr>
        <w:t>При сохранении значения ОП МИНИпол ниже ОПкрит (т.е. Кпоз МИНИпол &lt; 1) и/или ОП ОДС выше ОПкрит (т.е. Кпоз ОДС &gt; 1)</w:t>
      </w:r>
      <w:r w:rsidR="00D27921" w:rsidRPr="00F65ECD">
        <w:rPr>
          <w:rFonts w:eastAsia="Times New Roman"/>
        </w:rPr>
        <w:t xml:space="preserve"> </w:t>
      </w:r>
      <w:r w:rsidR="00B7655A" w:rsidRPr="00F65ECD">
        <w:rPr>
          <w:rFonts w:eastAsia="Times New Roman"/>
        </w:rPr>
        <w:t xml:space="preserve">на диаграмме появляется сообщение о нарушении аналитической надежности исследования. </w:t>
      </w:r>
      <w:r w:rsidR="000F3871" w:rsidRPr="00F65ECD">
        <w:rPr>
          <w:rFonts w:eastAsia="Times New Roman"/>
        </w:rPr>
        <w:t>Результаты данной аналитической серии не принимаются, необходимо найти и устранить ошибку в проведении ИФА и провести анализ образцов данной аналитической серии повторно.</w:t>
      </w:r>
    </w:p>
    <w:p w14:paraId="37B9EA99" w14:textId="5F657B42" w:rsidR="00500194" w:rsidRPr="001846B2" w:rsidRDefault="00274187" w:rsidP="001846B2">
      <w:pPr>
        <w:numPr>
          <w:ilvl w:val="0"/>
          <w:numId w:val="2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Данные из Вашей лаборатории будут </w:t>
      </w:r>
      <w:r w:rsidR="00B95B2E" w:rsidRPr="00F65ECD">
        <w:rPr>
          <w:rFonts w:eastAsia="Times New Roman"/>
        </w:rPr>
        <w:t>сохраняться</w:t>
      </w:r>
      <w:r w:rsidRPr="00F65ECD">
        <w:rPr>
          <w:rFonts w:eastAsia="Times New Roman"/>
        </w:rPr>
        <w:t xml:space="preserve"> и обрабатываться по мере накопления. Отчет </w:t>
      </w:r>
      <w:r w:rsidR="001846B2">
        <w:rPr>
          <w:rFonts w:eastAsia="Times New Roman"/>
        </w:rPr>
        <w:t xml:space="preserve">и </w:t>
      </w:r>
      <w:r w:rsidR="00604A90" w:rsidRPr="001253FA">
        <w:rPr>
          <w:rFonts w:eastAsia="Times New Roman"/>
        </w:rPr>
        <w:t xml:space="preserve">Свидетельство об участии в </w:t>
      </w:r>
      <w:r w:rsidRPr="001846B2">
        <w:rPr>
          <w:rFonts w:eastAsia="Times New Roman"/>
        </w:rPr>
        <w:t>Программе межлабораторных сличений «Вместе»</w:t>
      </w:r>
      <w:r w:rsidR="005F613D" w:rsidRPr="001846B2">
        <w:rPr>
          <w:rFonts w:eastAsia="Times New Roman"/>
        </w:rPr>
        <w:t xml:space="preserve"> </w:t>
      </w:r>
      <w:r w:rsidR="00500194" w:rsidRPr="001846B2">
        <w:rPr>
          <w:rFonts w:eastAsia="Times New Roman"/>
        </w:rPr>
        <w:t xml:space="preserve">генерируется два раза в год, </w:t>
      </w:r>
      <w:r w:rsidR="00494896" w:rsidRPr="001846B2">
        <w:rPr>
          <w:rFonts w:eastAsia="Times New Roman"/>
        </w:rPr>
        <w:t>по окончании</w:t>
      </w:r>
      <w:r w:rsidR="00500194" w:rsidRPr="001846B2">
        <w:rPr>
          <w:rFonts w:eastAsia="Times New Roman"/>
        </w:rPr>
        <w:t xml:space="preserve"> второго и четвертого кварталов</w:t>
      </w:r>
      <w:r w:rsidR="00C524EA" w:rsidRPr="001846B2">
        <w:rPr>
          <w:rFonts w:eastAsia="Times New Roman"/>
        </w:rPr>
        <w:t>.</w:t>
      </w:r>
      <w:r w:rsidR="00500194" w:rsidRPr="001846B2">
        <w:rPr>
          <w:rFonts w:eastAsia="Times New Roman"/>
        </w:rPr>
        <w:t xml:space="preserve"> Если </w:t>
      </w:r>
      <w:r w:rsidR="00BC1202" w:rsidRPr="001846B2">
        <w:rPr>
          <w:rFonts w:eastAsia="Times New Roman"/>
        </w:rPr>
        <w:t>Вами до конца отчетного периода</w:t>
      </w:r>
      <w:r w:rsidR="00A02219" w:rsidRPr="001846B2">
        <w:rPr>
          <w:rFonts w:eastAsia="Times New Roman"/>
        </w:rPr>
        <w:t xml:space="preserve"> было внесено </w:t>
      </w:r>
      <w:r w:rsidR="00500194" w:rsidRPr="001846B2">
        <w:rPr>
          <w:rFonts w:eastAsia="Times New Roman"/>
        </w:rPr>
        <w:t>как минимум четыре значения показателя</w:t>
      </w:r>
      <w:r w:rsidR="000F4B0F" w:rsidRPr="001846B2">
        <w:rPr>
          <w:rFonts w:eastAsia="Times New Roman"/>
        </w:rPr>
        <w:t xml:space="preserve"> </w:t>
      </w:r>
      <w:r w:rsidR="00F415BE" w:rsidRPr="001846B2">
        <w:rPr>
          <w:rFonts w:eastAsia="Times New Roman"/>
        </w:rPr>
        <w:t>в раздел одного из маркеров</w:t>
      </w:r>
      <w:r w:rsidR="00FB1C13" w:rsidRPr="00F65ECD">
        <w:rPr>
          <w:rStyle w:val="af1"/>
          <w:rFonts w:eastAsia="Times New Roman"/>
        </w:rPr>
        <w:footnoteReference w:id="9"/>
      </w:r>
      <w:r w:rsidR="00500194" w:rsidRPr="001846B2">
        <w:rPr>
          <w:rFonts w:eastAsia="Times New Roman"/>
        </w:rPr>
        <w:t xml:space="preserve">, то по этим данным может быть сформирован </w:t>
      </w:r>
      <w:r w:rsidR="00DD159C" w:rsidRPr="001846B2">
        <w:rPr>
          <w:rFonts w:eastAsia="Times New Roman"/>
        </w:rPr>
        <w:t>О</w:t>
      </w:r>
      <w:r w:rsidR="00500194" w:rsidRPr="001846B2">
        <w:rPr>
          <w:rFonts w:eastAsia="Times New Roman"/>
        </w:rPr>
        <w:t>тчет</w:t>
      </w:r>
      <w:r w:rsidR="00E13012" w:rsidRPr="001846B2">
        <w:rPr>
          <w:rFonts w:eastAsia="Times New Roman"/>
        </w:rPr>
        <w:t xml:space="preserve"> и Свидетельство об участии в Программе</w:t>
      </w:r>
      <w:r w:rsidR="00500194" w:rsidRPr="001846B2">
        <w:rPr>
          <w:rFonts w:eastAsia="Times New Roman"/>
        </w:rPr>
        <w:t>.</w:t>
      </w:r>
      <w:r w:rsidR="00C524EA" w:rsidRPr="001846B2">
        <w:rPr>
          <w:rFonts w:eastAsia="Times New Roman"/>
        </w:rPr>
        <w:t xml:space="preserve"> </w:t>
      </w:r>
      <w:r w:rsidR="00290B61" w:rsidRPr="001846B2">
        <w:rPr>
          <w:rFonts w:eastAsia="Times New Roman"/>
        </w:rPr>
        <w:t>С</w:t>
      </w:r>
      <w:r w:rsidR="00C524EA" w:rsidRPr="001846B2">
        <w:rPr>
          <w:rFonts w:eastAsia="Times New Roman"/>
        </w:rPr>
        <w:t>сылк</w:t>
      </w:r>
      <w:r w:rsidR="00290B61" w:rsidRPr="001846B2">
        <w:rPr>
          <w:rFonts w:eastAsia="Times New Roman"/>
        </w:rPr>
        <w:t>и</w:t>
      </w:r>
      <w:r w:rsidR="00C524EA" w:rsidRPr="001846B2">
        <w:rPr>
          <w:rFonts w:eastAsia="Times New Roman"/>
        </w:rPr>
        <w:t xml:space="preserve"> на скачивание </w:t>
      </w:r>
      <w:r w:rsidR="00290B61" w:rsidRPr="001846B2">
        <w:rPr>
          <w:rFonts w:eastAsia="Times New Roman"/>
        </w:rPr>
        <w:t>отчетных документов появятся</w:t>
      </w:r>
      <w:r w:rsidR="00C524EA" w:rsidRPr="001846B2">
        <w:rPr>
          <w:rFonts w:eastAsia="Times New Roman"/>
        </w:rPr>
        <w:t xml:space="preserve"> на странице заполнения результатов исследования.</w:t>
      </w:r>
    </w:p>
    <w:p w14:paraId="0D50D40C" w14:textId="17CB3F5A" w:rsidR="00831E86" w:rsidRPr="00F65ECD" w:rsidRDefault="00274187" w:rsidP="007D343B">
      <w:pPr>
        <w:numPr>
          <w:ilvl w:val="0"/>
          <w:numId w:val="2"/>
        </w:numPr>
        <w:spacing w:before="120" w:after="100" w:afterAutospacing="1" w:line="360" w:lineRule="auto"/>
        <w:jc w:val="both"/>
        <w:rPr>
          <w:rFonts w:eastAsia="Times New Roman"/>
        </w:rPr>
      </w:pPr>
      <w:r w:rsidRPr="00F65ECD">
        <w:rPr>
          <w:rFonts w:eastAsia="Times New Roman"/>
        </w:rPr>
        <w:t>Таким образом, Вы сможете контролировать аналитическую надежность Ваших исследований ежедневно (</w:t>
      </w:r>
      <w:r w:rsidRPr="00116D25">
        <w:rPr>
          <w:rFonts w:eastAsia="Times New Roman"/>
          <w:b/>
          <w:bCs/>
          <w:i/>
          <w:iCs/>
        </w:rPr>
        <w:t>элемент внутрилабораторного контроля качества</w:t>
      </w:r>
      <w:r w:rsidRPr="00F65ECD">
        <w:rPr>
          <w:rFonts w:eastAsia="Times New Roman"/>
        </w:rPr>
        <w:t xml:space="preserve">) благодаря </w:t>
      </w:r>
      <w:r w:rsidR="003C6940" w:rsidRPr="00F65ECD">
        <w:rPr>
          <w:rFonts w:eastAsia="Times New Roman"/>
        </w:rPr>
        <w:t xml:space="preserve">контрольным материалам </w:t>
      </w:r>
      <w:r w:rsidRPr="00F65ECD">
        <w:rPr>
          <w:rFonts w:eastAsia="Times New Roman"/>
        </w:rPr>
        <w:t>МИНИпол</w:t>
      </w:r>
      <w:r w:rsidR="005B5AD4" w:rsidRPr="00F65ECD">
        <w:rPr>
          <w:rFonts w:eastAsia="Times New Roman"/>
        </w:rPr>
        <w:t xml:space="preserve"> (</w:t>
      </w:r>
      <w:r w:rsidRPr="00F65ECD">
        <w:rPr>
          <w:rFonts w:eastAsia="Times New Roman"/>
        </w:rPr>
        <w:t xml:space="preserve">концентрация </w:t>
      </w:r>
      <w:r w:rsidR="005B2CDA" w:rsidRPr="00F65ECD">
        <w:rPr>
          <w:rFonts w:eastAsia="Times New Roman"/>
        </w:rPr>
        <w:t>маркера</w:t>
      </w:r>
      <w:r w:rsidRPr="00F65ECD">
        <w:rPr>
          <w:rFonts w:eastAsia="Times New Roman"/>
        </w:rPr>
        <w:t xml:space="preserve"> в котором близка к пороговой</w:t>
      </w:r>
      <w:r w:rsidR="005B5AD4" w:rsidRPr="00F65ECD">
        <w:rPr>
          <w:rFonts w:eastAsia="Times New Roman"/>
        </w:rPr>
        <w:t>) и ОДС</w:t>
      </w:r>
      <w:r w:rsidR="00FE5E65" w:rsidRPr="00F65ECD">
        <w:rPr>
          <w:rFonts w:eastAsia="Times New Roman"/>
        </w:rPr>
        <w:t xml:space="preserve"> (отрицательного контрольного материала)</w:t>
      </w:r>
      <w:r w:rsidRPr="00F65ECD">
        <w:rPr>
          <w:rFonts w:eastAsia="Times New Roman"/>
        </w:rPr>
        <w:t>. Кроме того, доступно сравнение своих результатов с результатами других лабораторий-участниц (</w:t>
      </w:r>
      <w:r w:rsidRPr="00116D25">
        <w:rPr>
          <w:rFonts w:eastAsia="Times New Roman"/>
          <w:b/>
          <w:bCs/>
          <w:i/>
          <w:iCs/>
        </w:rPr>
        <w:t>элемент внешней оценки качества</w:t>
      </w:r>
      <w:r w:rsidRPr="00F65ECD">
        <w:rPr>
          <w:rFonts w:eastAsia="Times New Roman"/>
        </w:rPr>
        <w:t xml:space="preserve">). В последнем случае можно отслеживать причины сдвига показателей </w:t>
      </w:r>
      <w:r w:rsidR="000727E9" w:rsidRPr="00F65ECD">
        <w:rPr>
          <w:rFonts w:eastAsia="Times New Roman"/>
        </w:rPr>
        <w:t xml:space="preserve">Кпоз </w:t>
      </w:r>
      <w:r w:rsidRPr="00F65ECD">
        <w:rPr>
          <w:rFonts w:eastAsia="Times New Roman"/>
        </w:rPr>
        <w:t>в ту или иную сторону.</w:t>
      </w:r>
    </w:p>
    <w:p w14:paraId="70E38C39" w14:textId="7C916176" w:rsidR="00831E86" w:rsidRPr="00F65ECD" w:rsidRDefault="00274187" w:rsidP="007D343B">
      <w:pPr>
        <w:numPr>
          <w:ilvl w:val="0"/>
          <w:numId w:val="2"/>
        </w:numPr>
        <w:spacing w:before="120" w:after="100" w:afterAutospacing="1" w:line="360" w:lineRule="auto"/>
        <w:ind w:left="714" w:hanging="357"/>
        <w:jc w:val="both"/>
        <w:rPr>
          <w:rFonts w:eastAsia="Times New Roman"/>
        </w:rPr>
      </w:pPr>
      <w:r w:rsidRPr="00F65ECD">
        <w:rPr>
          <w:rFonts w:eastAsia="Times New Roman"/>
        </w:rPr>
        <w:t xml:space="preserve">Мы оказываем помощь при поиске ошибок, высылая на электронный адрес, указанный </w:t>
      </w:r>
      <w:r w:rsidR="00AD6C62" w:rsidRPr="00F65ECD">
        <w:rPr>
          <w:rFonts w:eastAsia="Times New Roman"/>
        </w:rPr>
        <w:t xml:space="preserve">Вами на странице заполнения результатов </w:t>
      </w:r>
      <w:r w:rsidR="00747EEC" w:rsidRPr="00F65ECD">
        <w:rPr>
          <w:rFonts w:eastAsia="Times New Roman"/>
        </w:rPr>
        <w:t>исследований</w:t>
      </w:r>
      <w:r w:rsidRPr="00F65ECD">
        <w:rPr>
          <w:rFonts w:eastAsia="Times New Roman"/>
        </w:rPr>
        <w:t xml:space="preserve">, </w:t>
      </w:r>
      <w:r w:rsidR="00747EEC" w:rsidRPr="00F65ECD">
        <w:rPr>
          <w:rFonts w:eastAsia="Times New Roman"/>
        </w:rPr>
        <w:t>Т</w:t>
      </w:r>
      <w:r w:rsidRPr="00F65ECD">
        <w:rPr>
          <w:rFonts w:eastAsia="Times New Roman"/>
        </w:rPr>
        <w:t xml:space="preserve">естовое задание. При ответе на вопросы </w:t>
      </w:r>
      <w:r w:rsidR="00747EEC" w:rsidRPr="00F65ECD">
        <w:rPr>
          <w:rFonts w:eastAsia="Times New Roman"/>
        </w:rPr>
        <w:t>Т</w:t>
      </w:r>
      <w:r w:rsidRPr="00F65ECD">
        <w:rPr>
          <w:rFonts w:eastAsia="Times New Roman"/>
        </w:rPr>
        <w:t xml:space="preserve">естового задания выделите жирным шрифтом или цветом вариант ответа, соответствующий действиям, принятым в Вашей лаборатории на момент проведения исследования. Отвечайте не так, как Вы думаете, </w:t>
      </w:r>
      <w:r w:rsidRPr="00F65ECD">
        <w:rPr>
          <w:rFonts w:eastAsia="Times New Roman"/>
        </w:rPr>
        <w:lastRenderedPageBreak/>
        <w:t xml:space="preserve">а так, как Вы делаете! Привлекайте тех, кто непосредственно проводил исследования. В противном случае мы не сможем помочь Вам в поисках ошибок. Файл с ответами высылайте на электронный адрес </w:t>
      </w:r>
      <w:hyperlink r:id="rId11" w:history="1">
        <w:r w:rsidRPr="00F65ECD">
          <w:rPr>
            <w:rStyle w:val="a6"/>
            <w:rFonts w:eastAsia="Times New Roman"/>
          </w:rPr>
          <w:t>pvok@vector-best.ru</w:t>
        </w:r>
      </w:hyperlink>
      <w:r w:rsidRPr="00F65ECD">
        <w:rPr>
          <w:rFonts w:eastAsia="Times New Roman"/>
        </w:rPr>
        <w:t>, указав тему письма «Ответы на тестовое задание».</w:t>
      </w:r>
    </w:p>
    <w:p w14:paraId="325E0801" w14:textId="6AE22DA9" w:rsidR="005F613D" w:rsidRPr="00F65ECD" w:rsidRDefault="006C4A1B" w:rsidP="000B5349">
      <w:pPr>
        <w:numPr>
          <w:ilvl w:val="0"/>
          <w:numId w:val="2"/>
        </w:numPr>
        <w:spacing w:before="120" w:after="100" w:afterAutospacing="1" w:line="360" w:lineRule="auto"/>
        <w:ind w:left="714" w:hanging="357"/>
        <w:jc w:val="both"/>
        <w:rPr>
          <w:rFonts w:eastAsia="Times New Roman"/>
        </w:rPr>
      </w:pPr>
      <w:r w:rsidRPr="00F65ECD">
        <w:rPr>
          <w:rFonts w:eastAsia="Times New Roman"/>
        </w:rPr>
        <w:t>П</w:t>
      </w:r>
      <w:r w:rsidR="005F613D" w:rsidRPr="00F65ECD">
        <w:rPr>
          <w:rFonts w:eastAsia="Times New Roman"/>
        </w:rPr>
        <w:t xml:space="preserve">о окончании отчетного периода участникам высылается Анкета </w:t>
      </w:r>
      <w:r w:rsidRPr="00F65ECD">
        <w:rPr>
          <w:rFonts w:eastAsia="Times New Roman"/>
        </w:rPr>
        <w:t>для обратной связи, ответы на вопросы Анкеты помогут улучшить Программу.</w:t>
      </w:r>
    </w:p>
    <w:p w14:paraId="168ACEF2" w14:textId="27CE2EA6" w:rsidR="007D343B" w:rsidRPr="00F65ECD" w:rsidRDefault="007D343B" w:rsidP="000B5349">
      <w:pPr>
        <w:pStyle w:val="a8"/>
        <w:numPr>
          <w:ilvl w:val="0"/>
          <w:numId w:val="2"/>
        </w:numPr>
        <w:spacing w:before="120" w:line="360" w:lineRule="auto"/>
        <w:ind w:left="714" w:hanging="357"/>
        <w:jc w:val="both"/>
      </w:pPr>
      <w:r w:rsidRPr="00F65ECD">
        <w:rPr>
          <w:rFonts w:eastAsia="Times New Roman"/>
        </w:rPr>
        <w:t xml:space="preserve">Чтобы стать участником Программы, необходимо обратиться к Вашему менеджеру компании «Вектор-Бест» или сделать запрос на электронный адрес </w:t>
      </w:r>
      <w:hyperlink r:id="rId12" w:history="1">
        <w:r w:rsidRPr="00F65ECD">
          <w:rPr>
            <w:rStyle w:val="a6"/>
            <w:rFonts w:eastAsia="Times New Roman"/>
          </w:rPr>
          <w:t>pvok@vector-best.ru</w:t>
        </w:r>
      </w:hyperlink>
      <w:r w:rsidRPr="00F65ECD">
        <w:rPr>
          <w:rFonts w:eastAsia="Times New Roman"/>
        </w:rPr>
        <w:t xml:space="preserve"> </w:t>
      </w:r>
      <w:r w:rsidR="00ED1EFC">
        <w:rPr>
          <w:rFonts w:eastAsia="Times New Roman"/>
        </w:rPr>
        <w:t>координатору</w:t>
      </w:r>
      <w:r w:rsidRPr="00F65ECD">
        <w:rPr>
          <w:rFonts w:eastAsia="Times New Roman"/>
        </w:rPr>
        <w:t xml:space="preserve"> </w:t>
      </w:r>
      <w:r w:rsidR="00336324" w:rsidRPr="00F65ECD">
        <w:rPr>
          <w:rFonts w:eastAsia="Times New Roman"/>
        </w:rPr>
        <w:t>Программы</w:t>
      </w:r>
      <w:r w:rsidRPr="00F65ECD">
        <w:rPr>
          <w:rFonts w:eastAsia="Times New Roman"/>
        </w:rPr>
        <w:t xml:space="preserve"> для получения ссылки на регистрацию.</w:t>
      </w:r>
    </w:p>
    <w:p w14:paraId="0CC91785" w14:textId="6095E9AC" w:rsidR="00831E86" w:rsidRPr="00F65ECD" w:rsidRDefault="00274187" w:rsidP="007D343B">
      <w:pPr>
        <w:spacing w:before="100" w:beforeAutospacing="1" w:after="100" w:afterAutospacing="1" w:line="360" w:lineRule="auto"/>
        <w:jc w:val="both"/>
      </w:pPr>
      <w:r w:rsidRPr="00F65ECD">
        <w:t xml:space="preserve">Телефон, </w:t>
      </w:r>
      <w:r w:rsidRPr="00F65ECD">
        <w:rPr>
          <w:lang w:val="en-US"/>
        </w:rPr>
        <w:t>e</w:t>
      </w:r>
      <w:r w:rsidRPr="00F65ECD">
        <w:t>-</w:t>
      </w:r>
      <w:r w:rsidRPr="00F65ECD">
        <w:rPr>
          <w:lang w:val="en-US"/>
        </w:rPr>
        <w:t>mail</w:t>
      </w:r>
      <w:r w:rsidRPr="00F65ECD">
        <w:t xml:space="preserve"> для справок и вопросов: +7 (383) 332-24-45;</w:t>
      </w:r>
      <w:r w:rsidR="00EA088F" w:rsidRPr="00F65ECD">
        <w:t xml:space="preserve"> +7 (383) </w:t>
      </w:r>
      <w:r w:rsidRPr="00F65ECD">
        <w:t>227-60-30</w:t>
      </w:r>
      <w:r w:rsidR="00EA088F" w:rsidRPr="00F65ECD">
        <w:t xml:space="preserve"> доп. 6800</w:t>
      </w:r>
      <w:r w:rsidRPr="00F65ECD">
        <w:t xml:space="preserve">, </w:t>
      </w:r>
      <w:hyperlink r:id="rId13" w:history="1">
        <w:r w:rsidRPr="00F65ECD">
          <w:rPr>
            <w:rStyle w:val="a6"/>
            <w:lang w:val="en-US"/>
          </w:rPr>
          <w:t>pvok</w:t>
        </w:r>
        <w:r w:rsidRPr="00F65ECD">
          <w:rPr>
            <w:rStyle w:val="a6"/>
          </w:rPr>
          <w:t>@</w:t>
        </w:r>
        <w:r w:rsidRPr="00F65ECD">
          <w:rPr>
            <w:rStyle w:val="a6"/>
            <w:lang w:val="en-US"/>
          </w:rPr>
          <w:t>vector</w:t>
        </w:r>
        <w:r w:rsidRPr="00F65ECD">
          <w:rPr>
            <w:rStyle w:val="a6"/>
          </w:rPr>
          <w:t>-</w:t>
        </w:r>
        <w:r w:rsidRPr="00F65ECD">
          <w:rPr>
            <w:rStyle w:val="a6"/>
            <w:lang w:val="en-US"/>
          </w:rPr>
          <w:t>best</w:t>
        </w:r>
        <w:r w:rsidRPr="00F65ECD">
          <w:rPr>
            <w:rStyle w:val="a6"/>
          </w:rPr>
          <w:t>.</w:t>
        </w:r>
        <w:r w:rsidRPr="00F65ECD">
          <w:rPr>
            <w:rStyle w:val="a6"/>
            <w:lang w:val="en-US"/>
          </w:rPr>
          <w:t>ru</w:t>
        </w:r>
      </w:hyperlink>
      <w:r w:rsidRPr="00F65ECD">
        <w:t> </w:t>
      </w:r>
    </w:p>
    <w:p w14:paraId="71D3C87E" w14:textId="77777777" w:rsidR="007D343B" w:rsidRPr="00F65ECD" w:rsidRDefault="00274187" w:rsidP="007D343B">
      <w:pPr>
        <w:spacing w:before="100" w:beforeAutospacing="1" w:after="100" w:afterAutospacing="1" w:line="360" w:lineRule="auto"/>
        <w:rPr>
          <w:b/>
          <w:bCs/>
        </w:rPr>
      </w:pPr>
      <w:r w:rsidRPr="00F65ECD">
        <w:rPr>
          <w:b/>
          <w:bCs/>
        </w:rPr>
        <w:t>Конфиденциальность и защита персональных данных</w:t>
      </w:r>
    </w:p>
    <w:p w14:paraId="7F65784D" w14:textId="789CA071" w:rsidR="00A65A8E" w:rsidRPr="00F65ECD" w:rsidRDefault="00274187" w:rsidP="000B5349">
      <w:pPr>
        <w:spacing w:before="100" w:beforeAutospacing="1" w:after="100" w:afterAutospacing="1" w:line="360" w:lineRule="auto"/>
        <w:jc w:val="both"/>
      </w:pPr>
      <w:r w:rsidRPr="00F65ECD">
        <w:t xml:space="preserve">Полученные результаты будут изучены сотрудниками АО «Вектор-Бест». Наименование лаборатории и Ваши персональные данные не будут использоваться специалистами </w:t>
      </w:r>
      <w:r w:rsidR="002E4058" w:rsidRPr="00F65ECD">
        <w:t>АО</w:t>
      </w:r>
      <w:r w:rsidR="00C031F1" w:rsidRPr="00F65ECD">
        <w:t> </w:t>
      </w:r>
      <w:r w:rsidR="002E4058" w:rsidRPr="00F65ECD">
        <w:t>«</w:t>
      </w:r>
      <w:r w:rsidRPr="00F65ECD">
        <w:t xml:space="preserve">Вектор-Бест» при обработке для научных отчетов или публикаций без их обязательного обезличивания. </w:t>
      </w:r>
      <w:r w:rsidR="00A65A8E" w:rsidRPr="00F65ECD">
        <w:t xml:space="preserve">Допускается возможность обмена информацией в сетевых лабораториях-участницах </w:t>
      </w:r>
      <w:r w:rsidR="00C031F1" w:rsidRPr="00F65ECD">
        <w:t>П</w:t>
      </w:r>
      <w:r w:rsidR="00A65A8E" w:rsidRPr="00F65ECD">
        <w:t>рограммы после подтверждения их согласия раскрытия этой информации друг другу.</w:t>
      </w:r>
      <w:r w:rsidR="002E4058" w:rsidRPr="00F65ECD">
        <w:t xml:space="preserve"> </w:t>
      </w:r>
      <w:r w:rsidR="00A65A8E" w:rsidRPr="00F65ECD">
        <w:t xml:space="preserve">При покупке материалов Программы сторонней организацией (например, региональным ЦСПИД) в целях ее проведения в регионе, результаты из лабораторий-участниц этого региона обрабатываются совместно сотрудниками сторонней организации и АО </w:t>
      </w:r>
      <w:r w:rsidR="002E4058" w:rsidRPr="00F65ECD">
        <w:t>«</w:t>
      </w:r>
      <w:r w:rsidR="00A65A8E" w:rsidRPr="00F65ECD">
        <w:t>Вектор-Бест</w:t>
      </w:r>
      <w:r w:rsidR="002E4058" w:rsidRPr="00F65ECD">
        <w:t>»</w:t>
      </w:r>
      <w:r w:rsidR="00A65A8E" w:rsidRPr="00F65ECD">
        <w:t>.</w:t>
      </w:r>
    </w:p>
    <w:p w14:paraId="45DD97F4" w14:textId="24FF6EBE" w:rsidR="00831E86" w:rsidRPr="00F65ECD" w:rsidRDefault="00274187" w:rsidP="00972A89">
      <w:pPr>
        <w:pStyle w:val="a4"/>
        <w:spacing w:line="360" w:lineRule="auto"/>
      </w:pPr>
      <w:r w:rsidRPr="00F65ECD">
        <w:rPr>
          <w:b/>
          <w:bCs/>
        </w:rPr>
        <w:t>Добровольное участие</w:t>
      </w:r>
    </w:p>
    <w:p w14:paraId="50BCA01F" w14:textId="5786CC46" w:rsidR="00831E86" w:rsidRPr="00F65ECD" w:rsidRDefault="00274187" w:rsidP="002E4058">
      <w:pPr>
        <w:spacing w:before="100" w:beforeAutospacing="1" w:after="100" w:afterAutospacing="1" w:line="360" w:lineRule="auto"/>
        <w:jc w:val="both"/>
      </w:pPr>
      <w:r w:rsidRPr="00F65ECD">
        <w:t>Вы свободны в решении вопроса о возможности участия Вашей лаборатории в Программе. Если Вы станете участником Программы, то за Вами остается право отказа от дальнейшего участия в Программе на любой стадии е</w:t>
      </w:r>
      <w:r w:rsidR="00494896" w:rsidRPr="00F65ECD">
        <w:t>е</w:t>
      </w:r>
      <w:r w:rsidRPr="00F65ECD">
        <w:t xml:space="preserve"> проведения.</w:t>
      </w:r>
    </w:p>
    <w:p w14:paraId="30AF64B9" w14:textId="77777777" w:rsidR="008D54F2" w:rsidRPr="00F65ECD" w:rsidRDefault="008D54F2" w:rsidP="008D54F2">
      <w:pPr>
        <w:spacing w:before="360" w:line="360" w:lineRule="auto"/>
      </w:pPr>
      <w:r w:rsidRPr="00F65ECD">
        <w:t>Руководитель Программы межлабораторных сличений «Вместе»</w:t>
      </w:r>
    </w:p>
    <w:p w14:paraId="53B7D06B" w14:textId="1BDE5F18" w:rsidR="008D54F2" w:rsidRPr="00F65ECD" w:rsidRDefault="008D54F2" w:rsidP="008D54F2">
      <w:pPr>
        <w:spacing w:line="360" w:lineRule="auto"/>
      </w:pPr>
      <w:r w:rsidRPr="00F65ECD">
        <w:t>Начальник отделения ИФА гепатита В АО «Вектор-Бест»</w:t>
      </w:r>
    </w:p>
    <w:p w14:paraId="234BCB59" w14:textId="4DC37016" w:rsidR="00274187" w:rsidRDefault="008D54F2" w:rsidP="008D54F2">
      <w:pPr>
        <w:spacing w:line="360" w:lineRule="auto"/>
      </w:pPr>
      <w:r w:rsidRPr="00F65ECD">
        <w:t>Безуглова Людмила Вячеславовна</w:t>
      </w:r>
    </w:p>
    <w:sectPr w:rsidR="0027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32C5" w14:textId="77777777" w:rsidR="00CE6C39" w:rsidRDefault="00CE6C39" w:rsidP="004C2E00">
      <w:r>
        <w:separator/>
      </w:r>
    </w:p>
  </w:endnote>
  <w:endnote w:type="continuationSeparator" w:id="0">
    <w:p w14:paraId="1212FBE7" w14:textId="77777777" w:rsidR="00CE6C39" w:rsidRDefault="00CE6C39" w:rsidP="004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31EE" w14:textId="77777777" w:rsidR="00CE6C39" w:rsidRDefault="00CE6C39" w:rsidP="004C2E00">
      <w:r>
        <w:separator/>
      </w:r>
    </w:p>
  </w:footnote>
  <w:footnote w:type="continuationSeparator" w:id="0">
    <w:p w14:paraId="7415CA99" w14:textId="77777777" w:rsidR="00CE6C39" w:rsidRDefault="00CE6C39" w:rsidP="004C2E00">
      <w:r>
        <w:continuationSeparator/>
      </w:r>
    </w:p>
  </w:footnote>
  <w:footnote w:id="1">
    <w:p w14:paraId="7D3C75D6" w14:textId="77777777" w:rsidR="00995363" w:rsidRDefault="00995363" w:rsidP="00995363">
      <w:pPr>
        <w:pStyle w:val="af"/>
      </w:pPr>
      <w:r>
        <w:rPr>
          <w:rStyle w:val="af1"/>
        </w:rPr>
        <w:footnoteRef/>
      </w:r>
      <w:r>
        <w:t xml:space="preserve"> К</w:t>
      </w:r>
      <w:r w:rsidRPr="00995363">
        <w:t>онцентрация иммунологических маркеров в котором близка к пороговой, согласно ГОСТ Р ИСО 15189-2015, раздел 5.6. Обеспечение качества результатов исследований</w:t>
      </w:r>
      <w:r>
        <w:t>.</w:t>
      </w:r>
    </w:p>
  </w:footnote>
  <w:footnote w:id="2">
    <w:p w14:paraId="1D152D15" w14:textId="34C97D26" w:rsidR="00F906B3" w:rsidRDefault="00F906B3">
      <w:pPr>
        <w:pStyle w:val="af"/>
      </w:pPr>
      <w:r>
        <w:rPr>
          <w:rStyle w:val="af1"/>
        </w:rPr>
        <w:footnoteRef/>
      </w:r>
      <w:r>
        <w:t xml:space="preserve"> Выберите любой из подходящих Вам вариантов: </w:t>
      </w:r>
      <w:r w:rsidRPr="00E559FE">
        <w:rPr>
          <w:lang w:val="en-US"/>
        </w:rPr>
        <w:t>D</w:t>
      </w:r>
      <w:r w:rsidRPr="00984AB9">
        <w:t xml:space="preserve">-3001, </w:t>
      </w:r>
      <w:r w:rsidRPr="00E559FE">
        <w:rPr>
          <w:lang w:val="en-US"/>
        </w:rPr>
        <w:t>D</w:t>
      </w:r>
      <w:r>
        <w:t xml:space="preserve">-3002, </w:t>
      </w:r>
      <w:r w:rsidRPr="00E559FE">
        <w:rPr>
          <w:lang w:val="en-US"/>
        </w:rPr>
        <w:t>D</w:t>
      </w:r>
      <w:r>
        <w:t xml:space="preserve">-3003 или </w:t>
      </w:r>
      <w:r w:rsidRPr="00E559FE">
        <w:rPr>
          <w:lang w:val="en-US"/>
        </w:rPr>
        <w:t>D</w:t>
      </w:r>
      <w:r>
        <w:t>-3004.</w:t>
      </w:r>
    </w:p>
  </w:footnote>
  <w:footnote w:id="3">
    <w:p w14:paraId="1B0D6F3A" w14:textId="7AC24779" w:rsidR="00834FB2" w:rsidRDefault="00834FB2" w:rsidP="00566A94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830FF0">
        <w:t xml:space="preserve">Только для наборов реагентов </w:t>
      </w:r>
      <w:r w:rsidR="00830FF0">
        <w:rPr>
          <w:rFonts w:eastAsia="Times New Roman"/>
        </w:rPr>
        <w:t xml:space="preserve">«Вектогеп В – </w:t>
      </w:r>
      <w:r w:rsidR="00830FF0">
        <w:rPr>
          <w:rFonts w:eastAsia="Times New Roman"/>
          <w:lang w:val="en-US"/>
        </w:rPr>
        <w:t>HBs</w:t>
      </w:r>
      <w:r w:rsidR="00830FF0">
        <w:rPr>
          <w:rFonts w:eastAsia="Times New Roman"/>
        </w:rPr>
        <w:t>-антиген»</w:t>
      </w:r>
      <w:r w:rsidR="00AE45D0">
        <w:rPr>
          <w:rFonts w:eastAsia="Times New Roman"/>
        </w:rPr>
        <w:t xml:space="preserve">, </w:t>
      </w:r>
      <w:r w:rsidR="00830FF0">
        <w:rPr>
          <w:rFonts w:eastAsia="Times New Roman"/>
        </w:rPr>
        <w:t>«Бест анти-ВГС»</w:t>
      </w:r>
      <w:r w:rsidR="00AE45D0">
        <w:rPr>
          <w:rFonts w:eastAsia="Times New Roman"/>
        </w:rPr>
        <w:t xml:space="preserve"> и</w:t>
      </w:r>
      <w:r w:rsidR="00566A94">
        <w:rPr>
          <w:rFonts w:eastAsia="Times New Roman"/>
        </w:rPr>
        <w:t xml:space="preserve"> </w:t>
      </w:r>
      <w:r w:rsidR="00566A94" w:rsidRPr="00566A94">
        <w:rPr>
          <w:rFonts w:eastAsia="Times New Roman"/>
        </w:rPr>
        <w:t>«КомбиБест ВИЧ-1,2 АГ/АТ»</w:t>
      </w:r>
      <w:r w:rsidR="00AE45D0">
        <w:rPr>
          <w:rFonts w:eastAsia="Times New Roman"/>
        </w:rPr>
        <w:t xml:space="preserve"> </w:t>
      </w:r>
      <w:r w:rsidR="008D58FF">
        <w:rPr>
          <w:rFonts w:eastAsia="Times New Roman"/>
        </w:rPr>
        <w:t>.</w:t>
      </w:r>
    </w:p>
  </w:footnote>
  <w:footnote w:id="4">
    <w:p w14:paraId="4D68AD13" w14:textId="77777777" w:rsidR="004E56BA" w:rsidRDefault="004E56BA" w:rsidP="004E56BA">
      <w:pPr>
        <w:pStyle w:val="af"/>
      </w:pPr>
      <w:r>
        <w:rPr>
          <w:rStyle w:val="af1"/>
        </w:rPr>
        <w:footnoteRef/>
      </w:r>
      <w:r>
        <w:t xml:space="preserve"> Только для иммунологического маркера – антитела к ВИЧ-1 (анти-</w:t>
      </w:r>
      <w:r w:rsidRPr="00FF3450">
        <w:t>ВИ</w:t>
      </w:r>
      <w:r>
        <w:t>Ч-1</w:t>
      </w:r>
      <w:r w:rsidRPr="006A469A">
        <w:t>)</w:t>
      </w:r>
      <w:r>
        <w:t>.</w:t>
      </w:r>
    </w:p>
  </w:footnote>
  <w:footnote w:id="5">
    <w:p w14:paraId="62CE4B18" w14:textId="6A5ADC02" w:rsidR="00542DD8" w:rsidRPr="006A469A" w:rsidRDefault="00542DD8" w:rsidP="00566A94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113B28">
        <w:t>Только д</w:t>
      </w:r>
      <w:r>
        <w:t xml:space="preserve">ля </w:t>
      </w:r>
      <w:r w:rsidR="006A469A">
        <w:t>иммунологическ</w:t>
      </w:r>
      <w:r w:rsidR="00BB42C3">
        <w:t>их</w:t>
      </w:r>
      <w:r w:rsidR="006A469A">
        <w:t xml:space="preserve"> маркер</w:t>
      </w:r>
      <w:r w:rsidR="00BB42C3">
        <w:t>ов</w:t>
      </w:r>
      <w:r w:rsidR="006A469A">
        <w:t xml:space="preserve"> – антитела к возбудителю сифилиса (анти-</w:t>
      </w:r>
      <w:r w:rsidR="006A469A">
        <w:rPr>
          <w:lang w:val="en-US"/>
        </w:rPr>
        <w:t>Tr</w:t>
      </w:r>
      <w:r w:rsidR="006A469A" w:rsidRPr="006A469A">
        <w:t>.</w:t>
      </w:r>
      <w:r w:rsidR="006A469A">
        <w:rPr>
          <w:lang w:val="en-US"/>
        </w:rPr>
        <w:t>Pallidum</w:t>
      </w:r>
      <w:r w:rsidR="006A469A" w:rsidRPr="006A469A">
        <w:t>)</w:t>
      </w:r>
      <w:r w:rsidR="00BB42C3">
        <w:t xml:space="preserve"> </w:t>
      </w:r>
      <w:r w:rsidR="00C3281A">
        <w:t xml:space="preserve">и </w:t>
      </w:r>
      <w:r w:rsidR="00BB42C3">
        <w:t>антитела к ВИЧ-1 (анти-</w:t>
      </w:r>
      <w:r w:rsidR="00BB42C3" w:rsidRPr="00FF3450">
        <w:t>ВИ</w:t>
      </w:r>
      <w:r w:rsidR="00BB42C3">
        <w:t>Ч-1</w:t>
      </w:r>
      <w:r w:rsidR="00BB42C3" w:rsidRPr="006A469A">
        <w:t>)</w:t>
      </w:r>
      <w:r w:rsidR="008D58FF">
        <w:t>.</w:t>
      </w:r>
    </w:p>
  </w:footnote>
  <w:footnote w:id="6">
    <w:p w14:paraId="1E8562E4" w14:textId="1FD0EBAC" w:rsidR="008D58FF" w:rsidRDefault="008D58FF">
      <w:pPr>
        <w:pStyle w:val="af"/>
      </w:pPr>
      <w:r>
        <w:rPr>
          <w:rStyle w:val="af1"/>
        </w:rPr>
        <w:footnoteRef/>
      </w:r>
      <w:r>
        <w:t xml:space="preserve"> </w:t>
      </w:r>
      <w:r w:rsidRPr="005F613D">
        <w:rPr>
          <w:rFonts w:eastAsia="Times New Roman"/>
        </w:rPr>
        <w:t>D-300</w:t>
      </w:r>
      <w:r>
        <w:rPr>
          <w:rFonts w:eastAsia="Times New Roman"/>
        </w:rPr>
        <w:t xml:space="preserve">1, </w:t>
      </w:r>
      <w:r w:rsidRPr="005F613D">
        <w:rPr>
          <w:rFonts w:eastAsia="Times New Roman"/>
        </w:rPr>
        <w:t>D-3002, D-3003 или D-3004</w:t>
      </w:r>
      <w:r>
        <w:rPr>
          <w:rFonts w:eastAsia="Times New Roman"/>
        </w:rPr>
        <w:t>.</w:t>
      </w:r>
    </w:p>
  </w:footnote>
  <w:footnote w:id="7">
    <w:p w14:paraId="009C1309" w14:textId="61604E6B" w:rsidR="00813646" w:rsidRPr="005140DE" w:rsidRDefault="00813646" w:rsidP="00813646">
      <w:pPr>
        <w:pStyle w:val="af"/>
        <w:jc w:val="both"/>
      </w:pPr>
      <w:r w:rsidRPr="005140DE">
        <w:rPr>
          <w:rStyle w:val="af1"/>
        </w:rPr>
        <w:footnoteRef/>
      </w:r>
      <w:r w:rsidRPr="005140DE">
        <w:t xml:space="preserve"> </w:t>
      </w:r>
      <w:r w:rsidR="005140DE" w:rsidRPr="005140DE">
        <w:t xml:space="preserve">Нетесова И.Г., Мостович Л.А., Ярославцева О.А. / Организация внутрилабораторного контроля качества неколичественных методов иммуноферментного анализа с помощью оценки аналитической надежности лабораторных исследований. </w:t>
      </w:r>
      <w:r w:rsidR="005140DE" w:rsidRPr="005140DE">
        <w:rPr>
          <w:i/>
          <w:iCs/>
        </w:rPr>
        <w:t>Поликлиника «Лаборатория ЛПУ»</w:t>
      </w:r>
      <w:r w:rsidR="005140DE" w:rsidRPr="005140DE">
        <w:t xml:space="preserve"> – 2018. – спецвыпуск №12. – с. 15-18. </w:t>
      </w:r>
      <w:hyperlink r:id="rId1" w:history="1">
        <w:r w:rsidR="005140DE" w:rsidRPr="005140DE">
          <w:rPr>
            <w:rStyle w:val="a6"/>
          </w:rPr>
          <w:t>Poliklinika 1(2) 2018 12 LAB.indb</w:t>
        </w:r>
      </w:hyperlink>
    </w:p>
  </w:footnote>
  <w:footnote w:id="8">
    <w:p w14:paraId="663E3C3C" w14:textId="77777777" w:rsidR="00460BB8" w:rsidRPr="005140DE" w:rsidRDefault="00460BB8" w:rsidP="00813646">
      <w:pPr>
        <w:pStyle w:val="af"/>
        <w:jc w:val="both"/>
      </w:pPr>
      <w:r w:rsidRPr="005140DE">
        <w:rPr>
          <w:rStyle w:val="af1"/>
        </w:rPr>
        <w:footnoteRef/>
      </w:r>
      <w:r w:rsidRPr="005140DE">
        <w:t xml:space="preserve"> Если данные для ОДС были внесены.</w:t>
      </w:r>
    </w:p>
  </w:footnote>
  <w:footnote w:id="9">
    <w:p w14:paraId="1F96BE1A" w14:textId="57BE14FF" w:rsidR="00FB1C13" w:rsidRDefault="00FB1C13" w:rsidP="00FB1C13">
      <w:pPr>
        <w:spacing w:before="60" w:line="360" w:lineRule="auto"/>
        <w:jc w:val="both"/>
      </w:pPr>
      <w:r w:rsidRPr="00FD2CE6">
        <w:rPr>
          <w:rStyle w:val="af1"/>
          <w:sz w:val="20"/>
          <w:szCs w:val="20"/>
        </w:rPr>
        <w:footnoteRef/>
      </w:r>
      <w:r w:rsidRPr="00FD2CE6">
        <w:rPr>
          <w:sz w:val="20"/>
          <w:szCs w:val="20"/>
        </w:rPr>
        <w:t xml:space="preserve"> HBsAg, анти-ВГС</w:t>
      </w:r>
      <w:r w:rsidR="003F4C24">
        <w:rPr>
          <w:sz w:val="20"/>
          <w:szCs w:val="20"/>
        </w:rPr>
        <w:t xml:space="preserve">, </w:t>
      </w:r>
      <w:r w:rsidRPr="00FD2CE6">
        <w:rPr>
          <w:sz w:val="20"/>
          <w:szCs w:val="20"/>
        </w:rPr>
        <w:t>анти-Tr.Pallidum</w:t>
      </w:r>
      <w:r w:rsidR="003F4C24">
        <w:rPr>
          <w:sz w:val="20"/>
          <w:szCs w:val="20"/>
        </w:rPr>
        <w:t xml:space="preserve"> </w:t>
      </w:r>
      <w:r w:rsidR="003F4C24" w:rsidRPr="00FD2CE6">
        <w:rPr>
          <w:sz w:val="20"/>
          <w:szCs w:val="20"/>
        </w:rPr>
        <w:t>или</w:t>
      </w:r>
      <w:r w:rsidR="003F4C24">
        <w:rPr>
          <w:sz w:val="20"/>
          <w:szCs w:val="20"/>
        </w:rPr>
        <w:t xml:space="preserve"> анти-ВИЧ-1.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E2C"/>
    <w:multiLevelType w:val="hybridMultilevel"/>
    <w:tmpl w:val="9F667D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490539F"/>
    <w:multiLevelType w:val="hybridMultilevel"/>
    <w:tmpl w:val="6588AF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3F3938"/>
    <w:multiLevelType w:val="hybridMultilevel"/>
    <w:tmpl w:val="66E6DB20"/>
    <w:lvl w:ilvl="0" w:tplc="4ED01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1030A2"/>
    <w:multiLevelType w:val="hybridMultilevel"/>
    <w:tmpl w:val="F1B2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2F8C"/>
    <w:multiLevelType w:val="hybridMultilevel"/>
    <w:tmpl w:val="A0BCE04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1E24174"/>
    <w:multiLevelType w:val="multilevel"/>
    <w:tmpl w:val="69B4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37474"/>
    <w:multiLevelType w:val="hybridMultilevel"/>
    <w:tmpl w:val="97B0D0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3C05610"/>
    <w:multiLevelType w:val="hybridMultilevel"/>
    <w:tmpl w:val="C8B8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D0D60"/>
    <w:multiLevelType w:val="hybridMultilevel"/>
    <w:tmpl w:val="BBD44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413360"/>
    <w:multiLevelType w:val="multilevel"/>
    <w:tmpl w:val="8E76E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25365090">
    <w:abstractNumId w:val="5"/>
  </w:num>
  <w:num w:numId="2" w16cid:durableId="1093087229">
    <w:abstractNumId w:val="9"/>
  </w:num>
  <w:num w:numId="3" w16cid:durableId="375590146">
    <w:abstractNumId w:val="1"/>
  </w:num>
  <w:num w:numId="4" w16cid:durableId="2105955449">
    <w:abstractNumId w:val="4"/>
  </w:num>
  <w:num w:numId="5" w16cid:durableId="546719202">
    <w:abstractNumId w:val="3"/>
  </w:num>
  <w:num w:numId="6" w16cid:durableId="1069613375">
    <w:abstractNumId w:val="7"/>
  </w:num>
  <w:num w:numId="7" w16cid:durableId="754598099">
    <w:abstractNumId w:val="2"/>
  </w:num>
  <w:num w:numId="8" w16cid:durableId="1126966633">
    <w:abstractNumId w:val="6"/>
  </w:num>
  <w:num w:numId="9" w16cid:durableId="1534227209">
    <w:abstractNumId w:val="8"/>
  </w:num>
  <w:num w:numId="10" w16cid:durableId="15159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C"/>
    <w:rsid w:val="00023B37"/>
    <w:rsid w:val="00036137"/>
    <w:rsid w:val="00053368"/>
    <w:rsid w:val="000544F2"/>
    <w:rsid w:val="000577C1"/>
    <w:rsid w:val="0006549C"/>
    <w:rsid w:val="000727E9"/>
    <w:rsid w:val="00087EFC"/>
    <w:rsid w:val="000B5349"/>
    <w:rsid w:val="000B5F18"/>
    <w:rsid w:val="000E1A7C"/>
    <w:rsid w:val="000F3871"/>
    <w:rsid w:val="000F461F"/>
    <w:rsid w:val="000F48E3"/>
    <w:rsid w:val="000F4B0F"/>
    <w:rsid w:val="000F745F"/>
    <w:rsid w:val="001067AE"/>
    <w:rsid w:val="00113B28"/>
    <w:rsid w:val="0011556D"/>
    <w:rsid w:val="00116D25"/>
    <w:rsid w:val="001242F4"/>
    <w:rsid w:val="001418BB"/>
    <w:rsid w:val="00145E95"/>
    <w:rsid w:val="00157D8D"/>
    <w:rsid w:val="00170B27"/>
    <w:rsid w:val="00174182"/>
    <w:rsid w:val="00180837"/>
    <w:rsid w:val="001846B2"/>
    <w:rsid w:val="00196908"/>
    <w:rsid w:val="001B3A08"/>
    <w:rsid w:val="001E283C"/>
    <w:rsid w:val="001F4C4A"/>
    <w:rsid w:val="00222E91"/>
    <w:rsid w:val="00232697"/>
    <w:rsid w:val="00262FD5"/>
    <w:rsid w:val="00265B64"/>
    <w:rsid w:val="00274187"/>
    <w:rsid w:val="00290B61"/>
    <w:rsid w:val="002C5360"/>
    <w:rsid w:val="002D2B9E"/>
    <w:rsid w:val="002E4058"/>
    <w:rsid w:val="002E4655"/>
    <w:rsid w:val="002F4575"/>
    <w:rsid w:val="003342B0"/>
    <w:rsid w:val="00336324"/>
    <w:rsid w:val="003751F5"/>
    <w:rsid w:val="00375BF4"/>
    <w:rsid w:val="00395DC9"/>
    <w:rsid w:val="003A0CE0"/>
    <w:rsid w:val="003A7764"/>
    <w:rsid w:val="003C5BB0"/>
    <w:rsid w:val="003C6940"/>
    <w:rsid w:val="003C74BF"/>
    <w:rsid w:val="003E1026"/>
    <w:rsid w:val="003E49B7"/>
    <w:rsid w:val="003F0218"/>
    <w:rsid w:val="003F4C24"/>
    <w:rsid w:val="00405464"/>
    <w:rsid w:val="00440919"/>
    <w:rsid w:val="00452BA4"/>
    <w:rsid w:val="00460BB8"/>
    <w:rsid w:val="00461C0E"/>
    <w:rsid w:val="00471663"/>
    <w:rsid w:val="004806B2"/>
    <w:rsid w:val="00487B7B"/>
    <w:rsid w:val="0049143C"/>
    <w:rsid w:val="00494896"/>
    <w:rsid w:val="004A570C"/>
    <w:rsid w:val="004B14B0"/>
    <w:rsid w:val="004C2E00"/>
    <w:rsid w:val="004C547F"/>
    <w:rsid w:val="004D0955"/>
    <w:rsid w:val="004E56BA"/>
    <w:rsid w:val="00500194"/>
    <w:rsid w:val="005036F6"/>
    <w:rsid w:val="00507769"/>
    <w:rsid w:val="005140DE"/>
    <w:rsid w:val="005253FD"/>
    <w:rsid w:val="00542DD8"/>
    <w:rsid w:val="00566A94"/>
    <w:rsid w:val="005B231A"/>
    <w:rsid w:val="005B2CDA"/>
    <w:rsid w:val="005B5AD4"/>
    <w:rsid w:val="005D228E"/>
    <w:rsid w:val="005F3DE8"/>
    <w:rsid w:val="005F613D"/>
    <w:rsid w:val="005F6E48"/>
    <w:rsid w:val="00604A90"/>
    <w:rsid w:val="00604E93"/>
    <w:rsid w:val="00614769"/>
    <w:rsid w:val="006807B9"/>
    <w:rsid w:val="00685073"/>
    <w:rsid w:val="00691E7F"/>
    <w:rsid w:val="00693D54"/>
    <w:rsid w:val="006A469A"/>
    <w:rsid w:val="006B20B4"/>
    <w:rsid w:val="006B3A65"/>
    <w:rsid w:val="006B61D3"/>
    <w:rsid w:val="006C4A1B"/>
    <w:rsid w:val="006D7A61"/>
    <w:rsid w:val="006D7E1F"/>
    <w:rsid w:val="006F124F"/>
    <w:rsid w:val="0070288B"/>
    <w:rsid w:val="00713A02"/>
    <w:rsid w:val="007261EE"/>
    <w:rsid w:val="00747EEC"/>
    <w:rsid w:val="00752CD7"/>
    <w:rsid w:val="007B0B1E"/>
    <w:rsid w:val="007C2D57"/>
    <w:rsid w:val="007C7014"/>
    <w:rsid w:val="007D2FDF"/>
    <w:rsid w:val="007D343B"/>
    <w:rsid w:val="007E5F46"/>
    <w:rsid w:val="00811ED3"/>
    <w:rsid w:val="00813646"/>
    <w:rsid w:val="00830FF0"/>
    <w:rsid w:val="00831E86"/>
    <w:rsid w:val="00834FB2"/>
    <w:rsid w:val="00847873"/>
    <w:rsid w:val="00860B50"/>
    <w:rsid w:val="00863A5F"/>
    <w:rsid w:val="00871F84"/>
    <w:rsid w:val="0087541E"/>
    <w:rsid w:val="0088291E"/>
    <w:rsid w:val="00890A5A"/>
    <w:rsid w:val="00895A2F"/>
    <w:rsid w:val="00897930"/>
    <w:rsid w:val="008A4B3A"/>
    <w:rsid w:val="008A55F5"/>
    <w:rsid w:val="008C4734"/>
    <w:rsid w:val="008C5505"/>
    <w:rsid w:val="008D54F2"/>
    <w:rsid w:val="008D58FF"/>
    <w:rsid w:val="008F36CC"/>
    <w:rsid w:val="008F7009"/>
    <w:rsid w:val="009041D3"/>
    <w:rsid w:val="009231AB"/>
    <w:rsid w:val="0092773F"/>
    <w:rsid w:val="00972A89"/>
    <w:rsid w:val="00984AB9"/>
    <w:rsid w:val="00990011"/>
    <w:rsid w:val="00995363"/>
    <w:rsid w:val="009C7E50"/>
    <w:rsid w:val="009F60FE"/>
    <w:rsid w:val="00A013AC"/>
    <w:rsid w:val="00A02219"/>
    <w:rsid w:val="00A22CFF"/>
    <w:rsid w:val="00A35F62"/>
    <w:rsid w:val="00A50430"/>
    <w:rsid w:val="00A56F82"/>
    <w:rsid w:val="00A65A8E"/>
    <w:rsid w:val="00A82CAC"/>
    <w:rsid w:val="00A84B92"/>
    <w:rsid w:val="00A92EE3"/>
    <w:rsid w:val="00AA0589"/>
    <w:rsid w:val="00AA4465"/>
    <w:rsid w:val="00AB3656"/>
    <w:rsid w:val="00AD6C62"/>
    <w:rsid w:val="00AE45D0"/>
    <w:rsid w:val="00AE7076"/>
    <w:rsid w:val="00B14847"/>
    <w:rsid w:val="00B274C8"/>
    <w:rsid w:val="00B55F4F"/>
    <w:rsid w:val="00B7655A"/>
    <w:rsid w:val="00B83458"/>
    <w:rsid w:val="00B86816"/>
    <w:rsid w:val="00B95B2E"/>
    <w:rsid w:val="00B97ED9"/>
    <w:rsid w:val="00BA424B"/>
    <w:rsid w:val="00BB42C3"/>
    <w:rsid w:val="00BB782A"/>
    <w:rsid w:val="00BC1202"/>
    <w:rsid w:val="00BC4F4C"/>
    <w:rsid w:val="00BE0BD7"/>
    <w:rsid w:val="00BF1858"/>
    <w:rsid w:val="00C02E25"/>
    <w:rsid w:val="00C031F1"/>
    <w:rsid w:val="00C05C31"/>
    <w:rsid w:val="00C064B8"/>
    <w:rsid w:val="00C1335A"/>
    <w:rsid w:val="00C30198"/>
    <w:rsid w:val="00C3281A"/>
    <w:rsid w:val="00C415F0"/>
    <w:rsid w:val="00C41797"/>
    <w:rsid w:val="00C524EA"/>
    <w:rsid w:val="00C541BD"/>
    <w:rsid w:val="00C567B4"/>
    <w:rsid w:val="00C64372"/>
    <w:rsid w:val="00C86635"/>
    <w:rsid w:val="00C94F7F"/>
    <w:rsid w:val="00CA4B7D"/>
    <w:rsid w:val="00CD73F0"/>
    <w:rsid w:val="00CE58E7"/>
    <w:rsid w:val="00CE6C39"/>
    <w:rsid w:val="00CF010E"/>
    <w:rsid w:val="00D13974"/>
    <w:rsid w:val="00D27921"/>
    <w:rsid w:val="00D325A2"/>
    <w:rsid w:val="00D325B4"/>
    <w:rsid w:val="00D365F7"/>
    <w:rsid w:val="00D715E0"/>
    <w:rsid w:val="00D72C7B"/>
    <w:rsid w:val="00D83BA1"/>
    <w:rsid w:val="00D84760"/>
    <w:rsid w:val="00D95F87"/>
    <w:rsid w:val="00DB253C"/>
    <w:rsid w:val="00DB6356"/>
    <w:rsid w:val="00DD159C"/>
    <w:rsid w:val="00DD7871"/>
    <w:rsid w:val="00E13012"/>
    <w:rsid w:val="00E41A95"/>
    <w:rsid w:val="00E45540"/>
    <w:rsid w:val="00E559FE"/>
    <w:rsid w:val="00E57652"/>
    <w:rsid w:val="00E6451F"/>
    <w:rsid w:val="00E91055"/>
    <w:rsid w:val="00E9447D"/>
    <w:rsid w:val="00EA088F"/>
    <w:rsid w:val="00EA4471"/>
    <w:rsid w:val="00EA5497"/>
    <w:rsid w:val="00EA6E3C"/>
    <w:rsid w:val="00EA7414"/>
    <w:rsid w:val="00EB151A"/>
    <w:rsid w:val="00EB6350"/>
    <w:rsid w:val="00EC6E15"/>
    <w:rsid w:val="00ED1EFC"/>
    <w:rsid w:val="00ED2366"/>
    <w:rsid w:val="00EE02BF"/>
    <w:rsid w:val="00EE76FB"/>
    <w:rsid w:val="00F05E6F"/>
    <w:rsid w:val="00F20E88"/>
    <w:rsid w:val="00F23158"/>
    <w:rsid w:val="00F30178"/>
    <w:rsid w:val="00F31B6A"/>
    <w:rsid w:val="00F415BE"/>
    <w:rsid w:val="00F47203"/>
    <w:rsid w:val="00F561C7"/>
    <w:rsid w:val="00F601AD"/>
    <w:rsid w:val="00F65ECD"/>
    <w:rsid w:val="00F74D8D"/>
    <w:rsid w:val="00F7687B"/>
    <w:rsid w:val="00F85816"/>
    <w:rsid w:val="00F87D12"/>
    <w:rsid w:val="00F906B3"/>
    <w:rsid w:val="00F92ECB"/>
    <w:rsid w:val="00F95B77"/>
    <w:rsid w:val="00FA5F8E"/>
    <w:rsid w:val="00FB1C13"/>
    <w:rsid w:val="00FB6077"/>
    <w:rsid w:val="00FC409C"/>
    <w:rsid w:val="00FD2CE6"/>
    <w:rsid w:val="00FE5E65"/>
    <w:rsid w:val="00FF040A"/>
    <w:rsid w:val="00FF1BA7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D03A3"/>
  <w15:chartTrackingRefBased/>
  <w15:docId w15:val="{B2BBD397-00C9-461A-B49D-1895C08B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eastAsiaTheme="minorEastAsia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D15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E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2E00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2E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2E00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7D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7D8D"/>
    <w:rPr>
      <w:rFonts w:ascii="Segoe UI" w:eastAsiaTheme="minorEastAsia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3F021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F0218"/>
    <w:rPr>
      <w:rFonts w:eastAsiaTheme="minorEastAsia"/>
    </w:rPr>
  </w:style>
  <w:style w:type="character" w:styleId="af1">
    <w:name w:val="footnote reference"/>
    <w:basedOn w:val="a0"/>
    <w:uiPriority w:val="99"/>
    <w:semiHidden/>
    <w:unhideWhenUsed/>
    <w:rsid w:val="003F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ok@vector-best.ru" TargetMode="External"/><Relationship Id="rId13" Type="http://schemas.openxmlformats.org/officeDocument/2006/relationships/hyperlink" Target="mailto:pvok@vector-b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ok@vector-b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ok@vector-be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ctor-b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ctor-best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klin.ru/imagearticle/201801(2)/15-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D3E6-C676-493C-BA32-143BB0B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 Вячеслав Валерьевич</dc:creator>
  <cp:keywords/>
  <dc:description/>
  <cp:lastModifiedBy>Делий Ирина Валерьевна</cp:lastModifiedBy>
  <cp:revision>37</cp:revision>
  <cp:lastPrinted>2020-10-26T04:17:00Z</cp:lastPrinted>
  <dcterms:created xsi:type="dcterms:W3CDTF">2024-02-20T03:12:00Z</dcterms:created>
  <dcterms:modified xsi:type="dcterms:W3CDTF">2024-02-20T04:25:00Z</dcterms:modified>
</cp:coreProperties>
</file>